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1" w:line="223" w:lineRule="auto"/>
        <w:ind w:left="44"/>
        <w:rPr>
          <w:rFonts w:hint="eastAsia" w:ascii="仿宋_GB2312" w:hAnsi="仿宋_GB2312" w:eastAsia="仿宋_GB2312" w:cs="仿宋_GB2312"/>
          <w:spacing w:val="-17"/>
          <w:sz w:val="32"/>
          <w:szCs w:val="32"/>
          <w:highlight w:val="none"/>
        </w:rPr>
      </w:pPr>
      <w:r>
        <w:rPr>
          <w:rFonts w:hint="eastAsia" w:ascii="仿宋_GB2312" w:hAnsi="仿宋_GB2312" w:eastAsia="仿宋_GB2312" w:cs="仿宋_GB2312"/>
          <w:spacing w:val="-18"/>
          <w:sz w:val="32"/>
          <w:szCs w:val="32"/>
          <w:highlight w:val="none"/>
        </w:rPr>
        <w:t>附</w:t>
      </w:r>
      <w:r>
        <w:rPr>
          <w:rFonts w:hint="eastAsia" w:ascii="仿宋_GB2312" w:hAnsi="仿宋_GB2312" w:eastAsia="仿宋_GB2312" w:cs="仿宋_GB2312"/>
          <w:spacing w:val="-17"/>
          <w:sz w:val="32"/>
          <w:szCs w:val="32"/>
          <w:highlight w:val="none"/>
        </w:rPr>
        <w:t>件1</w:t>
      </w:r>
    </w:p>
    <w:p>
      <w:pPr>
        <w:spacing w:before="181" w:line="223" w:lineRule="auto"/>
        <w:ind w:left="44"/>
        <w:jc w:val="center"/>
        <w:rPr>
          <w:rFonts w:hint="eastAsia" w:ascii="方正小标宋简体" w:hAnsi="方正小标宋简体" w:eastAsia="方正小标宋简体" w:cs="方正小标宋简体"/>
          <w:spacing w:val="-17"/>
          <w:sz w:val="44"/>
          <w:szCs w:val="44"/>
          <w:highlight w:val="none"/>
        </w:rPr>
      </w:pPr>
      <w:r>
        <w:rPr>
          <w:rFonts w:hint="eastAsia" w:ascii="方正小标宋简体" w:hAnsi="方正小标宋简体" w:eastAsia="方正小标宋简体" w:cs="方正小标宋简体"/>
          <w:spacing w:val="-17"/>
          <w:sz w:val="44"/>
          <w:szCs w:val="44"/>
          <w:highlight w:val="none"/>
          <w:lang w:eastAsia="zh-CN"/>
        </w:rPr>
        <w:t>赣州市现代产业引导股权基金</w:t>
      </w:r>
      <w:r>
        <w:rPr>
          <w:rFonts w:hint="eastAsia" w:ascii="方正小标宋简体" w:hAnsi="方正小标宋简体" w:eastAsia="方正小标宋简体" w:cs="方正小标宋简体"/>
          <w:spacing w:val="-17"/>
          <w:sz w:val="44"/>
          <w:szCs w:val="44"/>
          <w:highlight w:val="none"/>
        </w:rPr>
        <w:t>子基金管理人</w:t>
      </w:r>
    </w:p>
    <w:p>
      <w:pPr>
        <w:spacing w:before="181" w:line="223" w:lineRule="auto"/>
        <w:ind w:left="44"/>
        <w:jc w:val="center"/>
        <w:rPr>
          <w:rFonts w:hint="eastAsia" w:ascii="方正小标宋简体" w:hAnsi="方正小标宋简体" w:eastAsia="方正小标宋简体" w:cs="方正小标宋简体"/>
          <w:spacing w:val="-17"/>
          <w:sz w:val="44"/>
          <w:szCs w:val="44"/>
          <w:highlight w:val="none"/>
        </w:rPr>
      </w:pPr>
      <w:r>
        <w:rPr>
          <w:rFonts w:hint="eastAsia" w:ascii="方正小标宋简体" w:hAnsi="方正小标宋简体" w:eastAsia="方正小标宋简体" w:cs="方正小标宋简体"/>
          <w:spacing w:val="-17"/>
          <w:sz w:val="44"/>
          <w:szCs w:val="44"/>
          <w:highlight w:val="none"/>
        </w:rPr>
        <w:t>申报指南</w:t>
      </w:r>
    </w:p>
    <w:p>
      <w:pPr>
        <w:spacing w:line="260"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50" w:afterLines="50" w:line="560" w:lineRule="exact"/>
        <w:ind w:left="0" w:firstLine="672" w:firstLineChars="200"/>
        <w:textAlignment w:val="baseline"/>
        <w:outlineLvl w:val="0"/>
        <w:rPr>
          <w:rFonts w:hint="eastAsia" w:ascii="黑体" w:hAnsi="黑体" w:eastAsia="黑体" w:cs="黑体"/>
          <w:sz w:val="32"/>
          <w:szCs w:val="32"/>
          <w:highlight w:val="none"/>
        </w:rPr>
      </w:pPr>
      <w:r>
        <w:rPr>
          <w:rFonts w:hint="eastAsia" w:ascii="黑体" w:hAnsi="黑体" w:eastAsia="黑体" w:cs="黑体"/>
          <w:color w:val="161616"/>
          <w:spacing w:val="8"/>
          <w:position w:val="4"/>
          <w:sz w:val="32"/>
          <w:szCs w:val="32"/>
          <w:highlight w:val="none"/>
        </w:rPr>
        <w:t>一、管理人申报要求</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736" w:firstLineChars="200"/>
        <w:textAlignment w:val="baseline"/>
        <w:outlineLvl w:val="1"/>
        <w:rPr>
          <w:rFonts w:hint="eastAsia" w:ascii="楷体_GB2312" w:hAnsi="楷体_GB2312" w:eastAsia="楷体_GB2312" w:cs="楷体_GB2312"/>
          <w:sz w:val="32"/>
          <w:szCs w:val="32"/>
          <w:highlight w:val="none"/>
        </w:rPr>
      </w:pPr>
      <w:r>
        <w:rPr>
          <w:rFonts w:hint="eastAsia" w:ascii="楷体_GB2312" w:hAnsi="楷体_GB2312" w:eastAsia="楷体_GB2312" w:cs="楷体_GB2312"/>
          <w:color w:val="121212"/>
          <w:spacing w:val="24"/>
          <w:sz w:val="32"/>
          <w:szCs w:val="32"/>
          <w:highlight w:val="none"/>
        </w:rPr>
        <w:t>(</w:t>
      </w:r>
      <w:r>
        <w:rPr>
          <w:rFonts w:hint="eastAsia" w:ascii="楷体_GB2312" w:hAnsi="楷体_GB2312" w:eastAsia="楷体_GB2312" w:cs="楷体_GB2312"/>
          <w:color w:val="121212"/>
          <w:spacing w:val="23"/>
          <w:sz w:val="32"/>
          <w:szCs w:val="32"/>
          <w:highlight w:val="none"/>
        </w:rPr>
        <w:t>一)公司资质</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72"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8"/>
          <w:sz w:val="32"/>
          <w:szCs w:val="32"/>
          <w:highlight w:val="none"/>
        </w:rPr>
        <w:t>子基金管理人需在中华人民共和国境内注册，已在中</w:t>
      </w:r>
      <w:r>
        <w:rPr>
          <w:rFonts w:hint="eastAsia" w:ascii="仿宋_GB2312" w:hAnsi="仿宋_GB2312" w:eastAsia="仿宋_GB2312" w:cs="仿宋_GB2312"/>
          <w:color w:val="121212"/>
          <w:spacing w:val="4"/>
          <w:sz w:val="32"/>
          <w:szCs w:val="32"/>
          <w:highlight w:val="none"/>
        </w:rPr>
        <w:t>国</w:t>
      </w:r>
      <w:r>
        <w:rPr>
          <w:rFonts w:hint="eastAsia" w:ascii="仿宋_GB2312" w:hAnsi="仿宋_GB2312" w:eastAsia="仿宋_GB2312" w:cs="仿宋_GB2312"/>
          <w:color w:val="121212"/>
          <w:spacing w:val="16"/>
          <w:sz w:val="32"/>
          <w:szCs w:val="32"/>
          <w:highlight w:val="none"/>
        </w:rPr>
        <w:t>证</w:t>
      </w:r>
      <w:r>
        <w:rPr>
          <w:rFonts w:hint="eastAsia" w:ascii="仿宋_GB2312" w:hAnsi="仿宋_GB2312" w:eastAsia="仿宋_GB2312" w:cs="仿宋_GB2312"/>
          <w:color w:val="121212"/>
          <w:spacing w:val="15"/>
          <w:sz w:val="32"/>
          <w:szCs w:val="32"/>
          <w:highlight w:val="none"/>
        </w:rPr>
        <w:t>券</w:t>
      </w:r>
      <w:r>
        <w:rPr>
          <w:rFonts w:hint="eastAsia" w:ascii="仿宋_GB2312" w:hAnsi="仿宋_GB2312" w:eastAsia="仿宋_GB2312" w:cs="仿宋_GB2312"/>
          <w:color w:val="121212"/>
          <w:spacing w:val="8"/>
          <w:sz w:val="32"/>
          <w:szCs w:val="32"/>
          <w:highlight w:val="none"/>
        </w:rPr>
        <w:t>投资基金业协会完成私募基金管理人登记，具备私募基</w:t>
      </w:r>
      <w:r>
        <w:rPr>
          <w:rFonts w:hint="eastAsia" w:ascii="仿宋_GB2312" w:hAnsi="仿宋_GB2312" w:eastAsia="仿宋_GB2312" w:cs="仿宋_GB2312"/>
          <w:color w:val="121212"/>
          <w:spacing w:val="16"/>
          <w:sz w:val="32"/>
          <w:szCs w:val="32"/>
          <w:highlight w:val="none"/>
        </w:rPr>
        <w:t>金</w:t>
      </w:r>
      <w:r>
        <w:rPr>
          <w:rFonts w:hint="eastAsia" w:ascii="仿宋_GB2312" w:hAnsi="仿宋_GB2312" w:eastAsia="仿宋_GB2312" w:cs="仿宋_GB2312"/>
          <w:color w:val="121212"/>
          <w:spacing w:val="15"/>
          <w:sz w:val="32"/>
          <w:szCs w:val="32"/>
          <w:highlight w:val="none"/>
        </w:rPr>
        <w:t>管</w:t>
      </w:r>
      <w:r>
        <w:rPr>
          <w:rFonts w:hint="eastAsia" w:ascii="仿宋_GB2312" w:hAnsi="仿宋_GB2312" w:eastAsia="仿宋_GB2312" w:cs="仿宋_GB2312"/>
          <w:color w:val="121212"/>
          <w:spacing w:val="8"/>
          <w:sz w:val="32"/>
          <w:szCs w:val="32"/>
          <w:highlight w:val="none"/>
        </w:rPr>
        <w:t>理人资格。具有独立法人资格，具备开展私募基金管理</w:t>
      </w:r>
      <w:r>
        <w:rPr>
          <w:rFonts w:hint="eastAsia" w:ascii="仿宋_GB2312" w:hAnsi="仿宋_GB2312" w:eastAsia="仿宋_GB2312" w:cs="仿宋_GB2312"/>
          <w:color w:val="121212"/>
          <w:spacing w:val="16"/>
          <w:sz w:val="32"/>
          <w:szCs w:val="32"/>
          <w:highlight w:val="none"/>
        </w:rPr>
        <w:t>业</w:t>
      </w:r>
      <w:r>
        <w:rPr>
          <w:rFonts w:hint="eastAsia" w:ascii="仿宋_GB2312" w:hAnsi="仿宋_GB2312" w:eastAsia="仿宋_GB2312" w:cs="仿宋_GB2312"/>
          <w:color w:val="121212"/>
          <w:spacing w:val="15"/>
          <w:sz w:val="32"/>
          <w:szCs w:val="32"/>
          <w:highlight w:val="none"/>
        </w:rPr>
        <w:t>务</w:t>
      </w:r>
      <w:r>
        <w:rPr>
          <w:rFonts w:hint="eastAsia" w:ascii="仿宋_GB2312" w:hAnsi="仿宋_GB2312" w:eastAsia="仿宋_GB2312" w:cs="仿宋_GB2312"/>
          <w:color w:val="121212"/>
          <w:spacing w:val="8"/>
          <w:sz w:val="32"/>
          <w:szCs w:val="32"/>
          <w:highlight w:val="none"/>
        </w:rPr>
        <w:t>所需的从业人员、营业场所、资本金等运营基本设施和</w:t>
      </w:r>
      <w:r>
        <w:rPr>
          <w:rFonts w:hint="eastAsia" w:ascii="仿宋_GB2312" w:hAnsi="仿宋_GB2312" w:eastAsia="仿宋_GB2312" w:cs="仿宋_GB2312"/>
          <w:color w:val="121212"/>
          <w:spacing w:val="20"/>
          <w:sz w:val="32"/>
          <w:szCs w:val="32"/>
          <w:highlight w:val="none"/>
        </w:rPr>
        <w:t>条</w:t>
      </w:r>
      <w:r>
        <w:rPr>
          <w:rFonts w:hint="eastAsia" w:ascii="仿宋_GB2312" w:hAnsi="仿宋_GB2312" w:eastAsia="仿宋_GB2312" w:cs="仿宋_GB2312"/>
          <w:color w:val="121212"/>
          <w:spacing w:val="11"/>
          <w:sz w:val="32"/>
          <w:szCs w:val="32"/>
          <w:highlight w:val="none"/>
        </w:rPr>
        <w:t>件</w:t>
      </w:r>
      <w:r>
        <w:rPr>
          <w:rFonts w:hint="eastAsia" w:ascii="仿宋_GB2312" w:hAnsi="仿宋_GB2312" w:eastAsia="仿宋_GB2312" w:cs="仿宋_GB2312"/>
          <w:color w:val="121212"/>
          <w:spacing w:val="10"/>
          <w:sz w:val="32"/>
          <w:szCs w:val="32"/>
          <w:highlight w:val="none"/>
        </w:rPr>
        <w:t>，实缴资本不低于1000万元</w:t>
      </w:r>
      <w:r>
        <w:rPr>
          <w:rFonts w:hint="eastAsia" w:ascii="仿宋_GB2312" w:hAnsi="仿宋_GB2312" w:eastAsia="仿宋_GB2312" w:cs="仿宋_GB2312"/>
          <w:color w:val="121212"/>
          <w:spacing w:val="10"/>
          <w:sz w:val="32"/>
          <w:szCs w:val="32"/>
          <w:highlight w:val="none"/>
          <w:lang w:eastAsia="zh-CN"/>
        </w:rPr>
        <w:t>（</w:t>
      </w:r>
      <w:r>
        <w:rPr>
          <w:rFonts w:hint="eastAsia" w:ascii="仿宋_GB2312" w:hAnsi="仿宋_GB2312" w:eastAsia="仿宋_GB2312" w:cs="仿宋_GB2312"/>
          <w:color w:val="121212"/>
          <w:spacing w:val="10"/>
          <w:sz w:val="32"/>
          <w:szCs w:val="32"/>
          <w:highlight w:val="none"/>
          <w:lang w:val="en-US" w:eastAsia="zh-CN"/>
        </w:rPr>
        <w:t>含）</w:t>
      </w:r>
      <w:r>
        <w:rPr>
          <w:rFonts w:hint="eastAsia" w:ascii="仿宋_GB2312" w:hAnsi="仿宋_GB2312" w:eastAsia="仿宋_GB2312" w:cs="仿宋_GB2312"/>
          <w:color w:val="121212"/>
          <w:spacing w:val="10"/>
          <w:sz w:val="32"/>
          <w:szCs w:val="32"/>
          <w:highlight w:val="none"/>
        </w:rPr>
        <w:t>。工商信息与</w:t>
      </w:r>
      <w:r>
        <w:rPr>
          <w:rFonts w:hint="eastAsia" w:ascii="仿宋_GB2312" w:hAnsi="仿宋_GB2312" w:eastAsia="仿宋_GB2312" w:cs="仿宋_GB2312"/>
          <w:color w:val="121212"/>
          <w:spacing w:val="10"/>
          <w:sz w:val="32"/>
          <w:szCs w:val="32"/>
          <w:highlight w:val="none"/>
          <w:lang w:val="en-US" w:eastAsia="zh-CN"/>
        </w:rPr>
        <w:t>中国证券投资</w:t>
      </w:r>
      <w:r>
        <w:rPr>
          <w:rFonts w:hint="eastAsia" w:ascii="仿宋_GB2312" w:hAnsi="仿宋_GB2312" w:eastAsia="仿宋_GB2312" w:cs="仿宋_GB2312"/>
          <w:color w:val="121212"/>
          <w:spacing w:val="10"/>
          <w:sz w:val="32"/>
          <w:szCs w:val="32"/>
          <w:highlight w:val="none"/>
        </w:rPr>
        <w:t>基金业协会</w:t>
      </w:r>
      <w:r>
        <w:rPr>
          <w:rFonts w:hint="eastAsia" w:ascii="仿宋_GB2312" w:hAnsi="仿宋_GB2312" w:eastAsia="仿宋_GB2312" w:cs="仿宋_GB2312"/>
          <w:color w:val="121212"/>
          <w:spacing w:val="14"/>
          <w:sz w:val="32"/>
          <w:szCs w:val="32"/>
          <w:highlight w:val="none"/>
        </w:rPr>
        <w:t>信</w:t>
      </w:r>
      <w:r>
        <w:rPr>
          <w:rFonts w:hint="eastAsia" w:ascii="仿宋_GB2312" w:hAnsi="仿宋_GB2312" w:eastAsia="仿宋_GB2312" w:cs="仿宋_GB2312"/>
          <w:color w:val="121212"/>
          <w:spacing w:val="8"/>
          <w:sz w:val="32"/>
          <w:szCs w:val="32"/>
          <w:highlight w:val="none"/>
        </w:rPr>
        <w:t>息</w:t>
      </w:r>
      <w:r>
        <w:rPr>
          <w:rFonts w:hint="eastAsia" w:ascii="仿宋_GB2312" w:hAnsi="仿宋_GB2312" w:eastAsia="仿宋_GB2312" w:cs="仿宋_GB2312"/>
          <w:color w:val="121212"/>
          <w:spacing w:val="8"/>
          <w:sz w:val="32"/>
          <w:szCs w:val="32"/>
          <w:highlight w:val="none"/>
          <w:lang w:val="en-US" w:eastAsia="zh-CN"/>
        </w:rPr>
        <w:t>应</w:t>
      </w:r>
      <w:r>
        <w:rPr>
          <w:rFonts w:hint="eastAsia" w:ascii="仿宋_GB2312" w:hAnsi="仿宋_GB2312" w:eastAsia="仿宋_GB2312" w:cs="仿宋_GB2312"/>
          <w:color w:val="121212"/>
          <w:spacing w:val="7"/>
          <w:sz w:val="32"/>
          <w:szCs w:val="32"/>
          <w:highlight w:val="none"/>
        </w:rPr>
        <w:t>一致，无不良信用记录。</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(二)人员配备及团队素质</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72" w:firstLineChars="200"/>
        <w:jc w:val="both"/>
        <w:textAlignment w:val="baseline"/>
        <w:rPr>
          <w:rFonts w:hint="eastAsia" w:ascii="仿宋_GB2312" w:hAnsi="仿宋_GB2312" w:eastAsia="仿宋_GB2312" w:cs="仿宋_GB2312"/>
          <w:color w:val="121212"/>
          <w:spacing w:val="8"/>
          <w:sz w:val="32"/>
          <w:szCs w:val="32"/>
          <w:highlight w:val="none"/>
        </w:rPr>
      </w:pPr>
      <w:r>
        <w:rPr>
          <w:rFonts w:hint="eastAsia" w:ascii="仿宋_GB2312" w:hAnsi="仿宋_GB2312" w:eastAsia="仿宋_GB2312" w:cs="仿宋_GB2312"/>
          <w:color w:val="121212"/>
          <w:spacing w:val="8"/>
          <w:sz w:val="32"/>
          <w:szCs w:val="32"/>
          <w:highlight w:val="none"/>
        </w:rPr>
        <w:t>管理团队及主要成员熟悉股权、创业投资基金运作，团队至少有3名</w:t>
      </w:r>
      <w:r>
        <w:rPr>
          <w:rFonts w:hint="eastAsia" w:ascii="仿宋_GB2312" w:hAnsi="仿宋_GB2312" w:eastAsia="仿宋_GB2312" w:cs="仿宋_GB2312"/>
          <w:color w:val="121212"/>
          <w:spacing w:val="8"/>
          <w:sz w:val="32"/>
          <w:szCs w:val="32"/>
          <w:highlight w:val="none"/>
          <w:lang w:eastAsia="zh-CN"/>
        </w:rPr>
        <w:t>（</w:t>
      </w:r>
      <w:r>
        <w:rPr>
          <w:rFonts w:hint="eastAsia" w:ascii="仿宋_GB2312" w:hAnsi="仿宋_GB2312" w:eastAsia="仿宋_GB2312" w:cs="仿宋_GB2312"/>
          <w:color w:val="121212"/>
          <w:spacing w:val="8"/>
          <w:sz w:val="32"/>
          <w:szCs w:val="32"/>
          <w:highlight w:val="none"/>
          <w:lang w:val="en-US" w:eastAsia="zh-CN"/>
        </w:rPr>
        <w:t>含）</w:t>
      </w:r>
      <w:r>
        <w:rPr>
          <w:rFonts w:hint="eastAsia" w:ascii="仿宋_GB2312" w:hAnsi="仿宋_GB2312" w:eastAsia="仿宋_GB2312" w:cs="仿宋_GB2312"/>
          <w:color w:val="121212"/>
          <w:spacing w:val="8"/>
          <w:sz w:val="32"/>
          <w:szCs w:val="32"/>
          <w:highlight w:val="none"/>
        </w:rPr>
        <w:t>具备</w:t>
      </w:r>
      <w:r>
        <w:rPr>
          <w:rFonts w:hint="eastAsia" w:ascii="仿宋_GB2312" w:hAnsi="仿宋_GB2312" w:eastAsia="仿宋_GB2312" w:cs="仿宋_GB2312"/>
          <w:color w:val="121212"/>
          <w:spacing w:val="8"/>
          <w:sz w:val="32"/>
          <w:szCs w:val="32"/>
          <w:highlight w:val="none"/>
          <w:lang w:val="en-US" w:eastAsia="zh-CN"/>
        </w:rPr>
        <w:t>3</w:t>
      </w:r>
      <w:r>
        <w:rPr>
          <w:rFonts w:hint="eastAsia" w:ascii="仿宋_GB2312" w:hAnsi="仿宋_GB2312" w:eastAsia="仿宋_GB2312" w:cs="仿宋_GB2312"/>
          <w:color w:val="121212"/>
          <w:spacing w:val="8"/>
          <w:sz w:val="32"/>
          <w:szCs w:val="32"/>
          <w:highlight w:val="none"/>
        </w:rPr>
        <w:t>年</w:t>
      </w:r>
      <w:r>
        <w:rPr>
          <w:rFonts w:hint="eastAsia" w:ascii="仿宋_GB2312" w:hAnsi="仿宋_GB2312" w:eastAsia="仿宋_GB2312" w:cs="仿宋_GB2312"/>
          <w:color w:val="121212"/>
          <w:spacing w:val="8"/>
          <w:sz w:val="32"/>
          <w:szCs w:val="32"/>
          <w:highlight w:val="none"/>
          <w:lang w:eastAsia="zh-CN"/>
        </w:rPr>
        <w:t>（</w:t>
      </w:r>
      <w:r>
        <w:rPr>
          <w:rFonts w:hint="eastAsia" w:ascii="仿宋_GB2312" w:hAnsi="仿宋_GB2312" w:eastAsia="仿宋_GB2312" w:cs="仿宋_GB2312"/>
          <w:color w:val="121212"/>
          <w:spacing w:val="8"/>
          <w:sz w:val="32"/>
          <w:szCs w:val="32"/>
          <w:highlight w:val="none"/>
          <w:lang w:val="en-US" w:eastAsia="zh-CN"/>
        </w:rPr>
        <w:t>含）</w:t>
      </w:r>
      <w:r>
        <w:rPr>
          <w:rFonts w:hint="eastAsia" w:ascii="仿宋_GB2312" w:hAnsi="仿宋_GB2312" w:eastAsia="仿宋_GB2312" w:cs="仿宋_GB2312"/>
          <w:color w:val="121212"/>
          <w:spacing w:val="8"/>
          <w:sz w:val="32"/>
          <w:szCs w:val="32"/>
          <w:highlight w:val="none"/>
        </w:rPr>
        <w:t>以上股权投资管理工作经验的专职高级管理人员</w:t>
      </w:r>
      <w:r>
        <w:rPr>
          <w:rFonts w:hint="eastAsia" w:ascii="仿宋_GB2312" w:hAnsi="仿宋_GB2312" w:eastAsia="仿宋_GB2312" w:cs="仿宋_GB2312"/>
          <w:color w:val="121212"/>
          <w:spacing w:val="8"/>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至少1名（含）专职管理人员具备5年（含）以上私募基金管理经验；</w:t>
      </w:r>
      <w:r>
        <w:rPr>
          <w:rFonts w:hint="eastAsia" w:ascii="仿宋_GB2312" w:hAnsi="仿宋_GB2312" w:eastAsia="仿宋_GB2312" w:cs="仿宋_GB2312"/>
          <w:color w:val="121212"/>
          <w:spacing w:val="8"/>
          <w:sz w:val="32"/>
          <w:szCs w:val="32"/>
          <w:highlight w:val="none"/>
        </w:rPr>
        <w:t>在拟合作</w:t>
      </w:r>
      <w:r>
        <w:rPr>
          <w:rFonts w:hint="eastAsia" w:ascii="仿宋_GB2312" w:hAnsi="仿宋_GB2312" w:eastAsia="仿宋_GB2312" w:cs="仿宋_GB2312"/>
          <w:color w:val="121212"/>
          <w:spacing w:val="8"/>
          <w:sz w:val="32"/>
          <w:szCs w:val="32"/>
          <w:highlight w:val="none"/>
          <w:lang w:val="en-US" w:eastAsia="zh-CN"/>
        </w:rPr>
        <w:t>子</w:t>
      </w:r>
      <w:r>
        <w:rPr>
          <w:rFonts w:hint="eastAsia" w:ascii="仿宋_GB2312" w:hAnsi="仿宋_GB2312" w:eastAsia="仿宋_GB2312" w:cs="仿宋_GB2312"/>
          <w:color w:val="121212"/>
          <w:spacing w:val="8"/>
          <w:sz w:val="32"/>
          <w:szCs w:val="32"/>
          <w:highlight w:val="none"/>
        </w:rPr>
        <w:t>基金主要投资领域，至少1名</w:t>
      </w:r>
      <w:r>
        <w:rPr>
          <w:rFonts w:hint="eastAsia" w:ascii="仿宋_GB2312" w:hAnsi="仿宋_GB2312" w:eastAsia="仿宋_GB2312" w:cs="仿宋_GB2312"/>
          <w:color w:val="121212"/>
          <w:spacing w:val="8"/>
          <w:sz w:val="32"/>
          <w:szCs w:val="32"/>
          <w:highlight w:val="none"/>
          <w:lang w:eastAsia="zh-CN"/>
        </w:rPr>
        <w:t>（</w:t>
      </w:r>
      <w:r>
        <w:rPr>
          <w:rFonts w:hint="eastAsia" w:ascii="仿宋_GB2312" w:hAnsi="仿宋_GB2312" w:eastAsia="仿宋_GB2312" w:cs="仿宋_GB2312"/>
          <w:color w:val="121212"/>
          <w:spacing w:val="8"/>
          <w:sz w:val="32"/>
          <w:szCs w:val="32"/>
          <w:highlight w:val="none"/>
          <w:lang w:val="en-US" w:eastAsia="zh-CN"/>
        </w:rPr>
        <w:t>含）</w:t>
      </w:r>
      <w:r>
        <w:rPr>
          <w:rFonts w:hint="eastAsia" w:ascii="仿宋_GB2312" w:hAnsi="仿宋_GB2312" w:eastAsia="仿宋_GB2312" w:cs="仿宋_GB2312"/>
          <w:color w:val="121212"/>
          <w:spacing w:val="8"/>
          <w:sz w:val="32"/>
          <w:szCs w:val="32"/>
          <w:highlight w:val="none"/>
        </w:rPr>
        <w:t>专职管理人员具备基金募资、投资和管理经验，且主导过投资项目实现成功退出；无违法违规记录，无明显负面评价，并确保有充足的时间和精力承担基金管理工作。</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lang w:eastAsia="zh-CN"/>
        </w:rPr>
        <w:t>（</w:t>
      </w:r>
      <w:r>
        <w:rPr>
          <w:rFonts w:hint="eastAsia" w:ascii="楷体_GB2312" w:hAnsi="楷体_GB2312" w:eastAsia="楷体_GB2312" w:cs="楷体_GB2312"/>
          <w:color w:val="121212"/>
          <w:spacing w:val="24"/>
          <w:sz w:val="32"/>
          <w:szCs w:val="32"/>
          <w:highlight w:val="none"/>
          <w:lang w:val="en-US" w:eastAsia="zh-CN"/>
        </w:rPr>
        <w:t>三）</w:t>
      </w:r>
      <w:r>
        <w:rPr>
          <w:rFonts w:hint="eastAsia" w:ascii="楷体_GB2312" w:hAnsi="楷体_GB2312" w:eastAsia="楷体_GB2312" w:cs="楷体_GB2312"/>
          <w:color w:val="121212"/>
          <w:spacing w:val="24"/>
          <w:sz w:val="32"/>
          <w:szCs w:val="32"/>
          <w:highlight w:val="none"/>
        </w:rPr>
        <w:t>投资管理能力</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72" w:firstLineChars="200"/>
        <w:jc w:val="both"/>
        <w:textAlignment w:val="baseline"/>
        <w:rPr>
          <w:rFonts w:hint="eastAsia" w:ascii="仿宋_GB2312" w:hAnsi="仿宋_GB2312" w:eastAsia="仿宋_GB2312" w:cs="仿宋_GB2312"/>
          <w:color w:val="121212"/>
          <w:spacing w:val="8"/>
          <w:sz w:val="32"/>
          <w:szCs w:val="32"/>
          <w:highlight w:val="none"/>
          <w:lang w:eastAsia="zh-CN"/>
        </w:rPr>
      </w:pPr>
      <w:r>
        <w:rPr>
          <w:rFonts w:hint="eastAsia" w:ascii="仿宋_GB2312" w:hAnsi="仿宋_GB2312" w:eastAsia="仿宋_GB2312" w:cs="仿宋_GB2312"/>
          <w:color w:val="121212"/>
          <w:spacing w:val="8"/>
          <w:sz w:val="32"/>
          <w:szCs w:val="32"/>
          <w:highlight w:val="none"/>
        </w:rPr>
        <w:t>管理团队在投资管理、行业研究等方面具有较强能力、较好的历史投资业绩和具有代表性的成功投资案例，</w:t>
      </w:r>
      <w:r>
        <w:rPr>
          <w:rFonts w:hint="eastAsia" w:ascii="仿宋_GB2312" w:hAnsi="仿宋_GB2312" w:eastAsia="仿宋_GB2312" w:cs="仿宋_GB2312"/>
          <w:b w:val="0"/>
          <w:bCs/>
          <w:color w:val="auto"/>
          <w:sz w:val="32"/>
          <w:szCs w:val="32"/>
          <w:lang w:val="en-US" w:eastAsia="zh-CN"/>
        </w:rPr>
        <w:t>管理人或其管理团队</w:t>
      </w:r>
      <w:r>
        <w:rPr>
          <w:rFonts w:hint="eastAsia" w:ascii="仿宋_GB2312" w:hAnsi="仿宋_GB2312" w:eastAsia="仿宋_GB2312" w:cs="仿宋_GB2312"/>
          <w:color w:val="121212"/>
          <w:spacing w:val="8"/>
          <w:sz w:val="32"/>
          <w:szCs w:val="32"/>
          <w:highlight w:val="none"/>
          <w:lang w:val="en-US" w:eastAsia="zh-CN"/>
        </w:rPr>
        <w:t>至少</w:t>
      </w:r>
      <w:r>
        <w:rPr>
          <w:rFonts w:hint="eastAsia" w:ascii="仿宋_GB2312" w:hAnsi="仿宋_GB2312" w:eastAsia="仿宋_GB2312" w:cs="仿宋_GB2312"/>
          <w:color w:val="121212"/>
          <w:spacing w:val="8"/>
          <w:sz w:val="32"/>
          <w:szCs w:val="32"/>
          <w:highlight w:val="none"/>
        </w:rPr>
        <w:t>有3个（含）以上股权投资的成功案例（</w:t>
      </w:r>
      <w:r>
        <w:rPr>
          <w:rFonts w:hint="eastAsia" w:ascii="仿宋_GB2312" w:hAnsi="仿宋_GB2312" w:eastAsia="仿宋_GB2312" w:cs="仿宋_GB2312"/>
          <w:color w:val="121212"/>
          <w:spacing w:val="8"/>
          <w:sz w:val="32"/>
          <w:szCs w:val="32"/>
          <w:highlight w:val="none"/>
          <w:lang w:val="en-US" w:eastAsia="zh-CN"/>
        </w:rPr>
        <w:t>原则上</w:t>
      </w:r>
      <w:r>
        <w:rPr>
          <w:rFonts w:hint="eastAsia" w:ascii="仿宋_GB2312" w:hAnsi="仿宋_GB2312" w:eastAsia="仿宋_GB2312" w:cs="仿宋_GB2312"/>
          <w:color w:val="121212"/>
          <w:spacing w:val="8"/>
          <w:sz w:val="32"/>
          <w:szCs w:val="32"/>
          <w:highlight w:val="none"/>
        </w:rPr>
        <w:t>项目已退出，回收资金大于投资成本</w:t>
      </w:r>
      <w:r>
        <w:rPr>
          <w:rFonts w:hint="eastAsia" w:ascii="仿宋_GB2312" w:hAnsi="仿宋_GB2312" w:eastAsia="仿宋_GB2312" w:cs="仿宋_GB2312"/>
          <w:color w:val="121212"/>
          <w:spacing w:val="8"/>
          <w:sz w:val="32"/>
          <w:szCs w:val="32"/>
          <w:highlight w:val="none"/>
          <w:lang w:val="en-US" w:eastAsia="zh-CN"/>
        </w:rPr>
        <w:t>或</w:t>
      </w:r>
      <w:r>
        <w:rPr>
          <w:rFonts w:hint="eastAsia" w:ascii="仿宋_GB2312" w:hAnsi="仿宋_GB2312" w:eastAsia="仿宋_GB2312" w:cs="仿宋_GB2312"/>
          <w:color w:val="121212"/>
          <w:spacing w:val="8"/>
          <w:sz w:val="32"/>
          <w:szCs w:val="32"/>
          <w:highlight w:val="none"/>
        </w:rPr>
        <w:t>项目已上市，回收资金（如有）加上未兑现公允价值大于投资成本</w:t>
      </w:r>
      <w:r>
        <w:rPr>
          <w:rFonts w:hint="eastAsia" w:ascii="仿宋_GB2312" w:hAnsi="仿宋_GB2312" w:eastAsia="仿宋_GB2312" w:cs="仿宋_GB2312"/>
          <w:color w:val="121212"/>
          <w:spacing w:val="8"/>
          <w:sz w:val="32"/>
          <w:szCs w:val="32"/>
          <w:highlight w:val="none"/>
          <w:lang w:val="en-US" w:eastAsia="zh-CN"/>
        </w:rPr>
        <w:t>可被认定为成功案例</w:t>
      </w:r>
      <w:r>
        <w:rPr>
          <w:rFonts w:hint="eastAsia" w:ascii="仿宋_GB2312" w:hAnsi="仿宋_GB2312" w:eastAsia="仿宋_GB2312" w:cs="仿宋_GB2312"/>
          <w:color w:val="121212"/>
          <w:spacing w:val="8"/>
          <w:sz w:val="32"/>
          <w:szCs w:val="32"/>
          <w:highlight w:val="none"/>
        </w:rPr>
        <w:t>。）</w:t>
      </w:r>
      <w:r>
        <w:rPr>
          <w:rFonts w:hint="eastAsia" w:ascii="仿宋_GB2312" w:hAnsi="仿宋_GB2312" w:eastAsia="仿宋_GB2312" w:cs="仿宋_GB2312"/>
          <w:color w:val="121212"/>
          <w:spacing w:val="8"/>
          <w:sz w:val="32"/>
          <w:szCs w:val="32"/>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(四)内部业务管理</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right="0" w:firstLine="672"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8"/>
          <w:sz w:val="32"/>
          <w:szCs w:val="32"/>
          <w:highlight w:val="none"/>
        </w:rPr>
        <w:t>子基金管理人应具备完善的内部制度和业务流程，包</w:t>
      </w:r>
      <w:r>
        <w:rPr>
          <w:rFonts w:hint="eastAsia" w:ascii="仿宋_GB2312" w:hAnsi="仿宋_GB2312" w:eastAsia="仿宋_GB2312" w:cs="仿宋_GB2312"/>
          <w:color w:val="121212"/>
          <w:spacing w:val="4"/>
          <w:sz w:val="32"/>
          <w:szCs w:val="32"/>
          <w:highlight w:val="none"/>
        </w:rPr>
        <w:t>括</w:t>
      </w:r>
      <w:r>
        <w:rPr>
          <w:rFonts w:hint="eastAsia" w:ascii="仿宋_GB2312" w:hAnsi="仿宋_GB2312" w:eastAsia="仿宋_GB2312" w:cs="仿宋_GB2312"/>
          <w:color w:val="121212"/>
          <w:spacing w:val="16"/>
          <w:sz w:val="32"/>
          <w:szCs w:val="32"/>
          <w:highlight w:val="none"/>
        </w:rPr>
        <w:t>但</w:t>
      </w:r>
      <w:r>
        <w:rPr>
          <w:rFonts w:hint="eastAsia" w:ascii="仿宋_GB2312" w:hAnsi="仿宋_GB2312" w:eastAsia="仿宋_GB2312" w:cs="仿宋_GB2312"/>
          <w:color w:val="121212"/>
          <w:spacing w:val="13"/>
          <w:sz w:val="32"/>
          <w:szCs w:val="32"/>
          <w:highlight w:val="none"/>
        </w:rPr>
        <w:t>不</w:t>
      </w:r>
      <w:r>
        <w:rPr>
          <w:rFonts w:hint="eastAsia" w:ascii="仿宋_GB2312" w:hAnsi="仿宋_GB2312" w:eastAsia="仿宋_GB2312" w:cs="仿宋_GB2312"/>
          <w:color w:val="121212"/>
          <w:spacing w:val="8"/>
          <w:sz w:val="32"/>
          <w:szCs w:val="32"/>
          <w:highlight w:val="none"/>
        </w:rPr>
        <w:t>限于风险控制制度、投资决策制度、财务管理制度、投</w:t>
      </w:r>
      <w:r>
        <w:rPr>
          <w:rFonts w:hint="eastAsia" w:ascii="仿宋_GB2312" w:hAnsi="仿宋_GB2312" w:eastAsia="仿宋_GB2312" w:cs="仿宋_GB2312"/>
          <w:color w:val="121212"/>
          <w:spacing w:val="16"/>
          <w:sz w:val="32"/>
          <w:szCs w:val="32"/>
          <w:highlight w:val="none"/>
        </w:rPr>
        <w:t>后</w:t>
      </w:r>
      <w:r>
        <w:rPr>
          <w:rFonts w:hint="eastAsia" w:ascii="仿宋_GB2312" w:hAnsi="仿宋_GB2312" w:eastAsia="仿宋_GB2312" w:cs="仿宋_GB2312"/>
          <w:color w:val="121212"/>
          <w:spacing w:val="13"/>
          <w:sz w:val="32"/>
          <w:szCs w:val="32"/>
          <w:highlight w:val="none"/>
        </w:rPr>
        <w:t>管</w:t>
      </w:r>
      <w:r>
        <w:rPr>
          <w:rFonts w:hint="eastAsia" w:ascii="仿宋_GB2312" w:hAnsi="仿宋_GB2312" w:eastAsia="仿宋_GB2312" w:cs="仿宋_GB2312"/>
          <w:color w:val="121212"/>
          <w:spacing w:val="8"/>
          <w:sz w:val="32"/>
          <w:szCs w:val="32"/>
          <w:highlight w:val="none"/>
        </w:rPr>
        <w:t>理制度等，同时管理人的内部制度和流程规定得到贯彻</w:t>
      </w:r>
      <w:r>
        <w:rPr>
          <w:rFonts w:hint="eastAsia" w:ascii="仿宋_GB2312" w:hAnsi="仿宋_GB2312" w:eastAsia="仿宋_GB2312" w:cs="仿宋_GB2312"/>
          <w:color w:val="121212"/>
          <w:spacing w:val="-2"/>
          <w:sz w:val="32"/>
          <w:szCs w:val="32"/>
          <w:highlight w:val="none"/>
        </w:rPr>
        <w:t>落实</w:t>
      </w:r>
      <w:r>
        <w:rPr>
          <w:rFonts w:hint="eastAsia" w:ascii="仿宋_GB2312" w:hAnsi="仿宋_GB2312" w:eastAsia="仿宋_GB2312" w:cs="仿宋_GB2312"/>
          <w:color w:val="121212"/>
          <w:spacing w:val="-1"/>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(五)项目储备情况</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792"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38"/>
          <w:sz w:val="32"/>
          <w:szCs w:val="32"/>
          <w:highlight w:val="none"/>
        </w:rPr>
        <w:t>子</w:t>
      </w:r>
      <w:r>
        <w:rPr>
          <w:rFonts w:hint="eastAsia" w:ascii="仿宋_GB2312" w:hAnsi="仿宋_GB2312" w:eastAsia="仿宋_GB2312" w:cs="仿宋_GB2312"/>
          <w:color w:val="121212"/>
          <w:spacing w:val="21"/>
          <w:sz w:val="32"/>
          <w:szCs w:val="32"/>
          <w:highlight w:val="none"/>
        </w:rPr>
        <w:t>基金管理人拥有或有能力引进引导基金聚焦领域和</w:t>
      </w:r>
      <w:r>
        <w:rPr>
          <w:rFonts w:hint="eastAsia" w:ascii="仿宋_GB2312" w:hAnsi="仿宋_GB2312" w:eastAsia="仿宋_GB2312" w:cs="仿宋_GB2312"/>
          <w:color w:val="121212"/>
          <w:spacing w:val="16"/>
          <w:sz w:val="32"/>
          <w:szCs w:val="32"/>
          <w:highlight w:val="none"/>
        </w:rPr>
        <w:t>契</w:t>
      </w:r>
      <w:r>
        <w:rPr>
          <w:rFonts w:hint="eastAsia" w:ascii="仿宋_GB2312" w:hAnsi="仿宋_GB2312" w:eastAsia="仿宋_GB2312" w:cs="仿宋_GB2312"/>
          <w:color w:val="121212"/>
          <w:spacing w:val="15"/>
          <w:sz w:val="32"/>
          <w:szCs w:val="32"/>
          <w:highlight w:val="none"/>
        </w:rPr>
        <w:t>合</w:t>
      </w:r>
      <w:r>
        <w:rPr>
          <w:rFonts w:hint="eastAsia" w:ascii="仿宋_GB2312" w:hAnsi="仿宋_GB2312" w:eastAsia="仿宋_GB2312" w:cs="仿宋_GB2312"/>
          <w:color w:val="121212"/>
          <w:spacing w:val="15"/>
          <w:sz w:val="32"/>
          <w:szCs w:val="32"/>
          <w:highlight w:val="none"/>
          <w:lang w:val="en-US" w:eastAsia="zh-CN"/>
        </w:rPr>
        <w:t>赣州市</w:t>
      </w:r>
      <w:r>
        <w:rPr>
          <w:rFonts w:hint="eastAsia" w:ascii="仿宋_GB2312" w:hAnsi="仿宋_GB2312" w:eastAsia="仿宋_GB2312" w:cs="仿宋_GB2312"/>
          <w:color w:val="121212"/>
          <w:spacing w:val="8"/>
          <w:sz w:val="32"/>
          <w:szCs w:val="32"/>
          <w:highlight w:val="none"/>
        </w:rPr>
        <w:t>产业规划的较为成熟的项目资源。子基金管理人在</w:t>
      </w:r>
      <w:r>
        <w:rPr>
          <w:rFonts w:hint="eastAsia" w:ascii="仿宋_GB2312" w:hAnsi="仿宋_GB2312" w:eastAsia="仿宋_GB2312" w:cs="仿宋_GB2312"/>
          <w:color w:val="121212"/>
          <w:spacing w:val="4"/>
          <w:sz w:val="32"/>
          <w:szCs w:val="32"/>
          <w:highlight w:val="none"/>
        </w:rPr>
        <w:t>申报时应有</w:t>
      </w:r>
      <w:r>
        <w:rPr>
          <w:rFonts w:hint="eastAsia" w:ascii="仿宋_GB2312" w:hAnsi="仿宋_GB2312" w:eastAsia="仿宋_GB2312" w:cs="仿宋_GB2312"/>
          <w:color w:val="121212"/>
          <w:spacing w:val="2"/>
          <w:sz w:val="32"/>
          <w:szCs w:val="32"/>
          <w:highlight w:val="none"/>
        </w:rPr>
        <w:t>成熟储备项目，已获得(储备)的拟投项目额度</w:t>
      </w:r>
      <w:r>
        <w:rPr>
          <w:rFonts w:hint="eastAsia" w:ascii="仿宋_GB2312" w:hAnsi="仿宋_GB2312" w:eastAsia="仿宋_GB2312" w:cs="仿宋_GB2312"/>
          <w:color w:val="121212"/>
          <w:spacing w:val="8"/>
          <w:sz w:val="32"/>
          <w:szCs w:val="32"/>
          <w:highlight w:val="none"/>
        </w:rPr>
        <w:t>不低</w:t>
      </w:r>
      <w:r>
        <w:rPr>
          <w:rFonts w:hint="eastAsia" w:ascii="仿宋_GB2312" w:hAnsi="仿宋_GB2312" w:eastAsia="仿宋_GB2312" w:cs="仿宋_GB2312"/>
          <w:color w:val="121212"/>
          <w:spacing w:val="4"/>
          <w:sz w:val="32"/>
          <w:szCs w:val="32"/>
          <w:highlight w:val="none"/>
        </w:rPr>
        <w:t>于</w:t>
      </w:r>
      <w:r>
        <w:rPr>
          <w:rFonts w:hint="eastAsia" w:ascii="仿宋_GB2312" w:hAnsi="仿宋_GB2312" w:eastAsia="仿宋_GB2312" w:cs="仿宋_GB2312"/>
          <w:color w:val="121212"/>
          <w:spacing w:val="4"/>
          <w:sz w:val="32"/>
          <w:szCs w:val="32"/>
          <w:highlight w:val="none"/>
          <w:lang w:val="en-US" w:eastAsia="zh-CN"/>
        </w:rPr>
        <w:t>子基金首批实缴</w:t>
      </w:r>
      <w:r>
        <w:rPr>
          <w:rFonts w:hint="eastAsia" w:ascii="仿宋_GB2312" w:hAnsi="仿宋_GB2312" w:eastAsia="仿宋_GB2312" w:cs="仿宋_GB2312"/>
          <w:color w:val="121212"/>
          <w:spacing w:val="4"/>
          <w:sz w:val="32"/>
          <w:szCs w:val="32"/>
          <w:highlight w:val="none"/>
        </w:rPr>
        <w:t>规模的30%，且至少有一个储备项目</w:t>
      </w:r>
      <w:r>
        <w:rPr>
          <w:rFonts w:hint="eastAsia" w:ascii="仿宋_GB2312" w:hAnsi="仿宋_GB2312" w:eastAsia="仿宋_GB2312" w:cs="仿宋_GB2312"/>
          <w:color w:val="121212"/>
          <w:spacing w:val="4"/>
          <w:sz w:val="32"/>
          <w:szCs w:val="32"/>
          <w:highlight w:val="none"/>
          <w:lang w:val="en-US" w:eastAsia="zh-CN"/>
        </w:rPr>
        <w:t>与</w:t>
      </w:r>
      <w:r>
        <w:rPr>
          <w:rFonts w:hint="eastAsia" w:ascii="仿宋_GB2312" w:hAnsi="仿宋_GB2312" w:eastAsia="仿宋_GB2312" w:cs="仿宋_GB2312"/>
          <w:color w:val="121212"/>
          <w:spacing w:val="-1"/>
          <w:sz w:val="32"/>
          <w:szCs w:val="32"/>
          <w:highlight w:val="none"/>
          <w:lang w:val="en-US" w:eastAsia="zh-CN"/>
        </w:rPr>
        <w:t>赣州签订落地意向协议</w:t>
      </w:r>
      <w:r>
        <w:rPr>
          <w:rFonts w:hint="eastAsia" w:ascii="仿宋_GB2312" w:hAnsi="仿宋_GB2312" w:eastAsia="仿宋_GB2312" w:cs="仿宋_GB2312"/>
          <w:color w:val="121212"/>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(六)投后增值能力</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96"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14"/>
          <w:sz w:val="32"/>
          <w:szCs w:val="32"/>
          <w:highlight w:val="none"/>
        </w:rPr>
        <w:t>管理</w:t>
      </w:r>
      <w:r>
        <w:rPr>
          <w:rFonts w:hint="eastAsia" w:ascii="仿宋_GB2312" w:hAnsi="仿宋_GB2312" w:eastAsia="仿宋_GB2312" w:cs="仿宋_GB2312"/>
          <w:color w:val="121212"/>
          <w:spacing w:val="9"/>
          <w:sz w:val="32"/>
          <w:szCs w:val="32"/>
          <w:highlight w:val="none"/>
        </w:rPr>
        <w:t>团</w:t>
      </w:r>
      <w:r>
        <w:rPr>
          <w:rFonts w:hint="eastAsia" w:ascii="仿宋_GB2312" w:hAnsi="仿宋_GB2312" w:eastAsia="仿宋_GB2312" w:cs="仿宋_GB2312"/>
          <w:color w:val="121212"/>
          <w:spacing w:val="7"/>
          <w:sz w:val="32"/>
          <w:szCs w:val="32"/>
          <w:highlight w:val="none"/>
        </w:rPr>
        <w:t>队具备较深厚的综合服务能力和资源，对国家政</w:t>
      </w:r>
      <w:r>
        <w:rPr>
          <w:rFonts w:hint="eastAsia" w:ascii="仿宋_GB2312" w:hAnsi="仿宋_GB2312" w:eastAsia="仿宋_GB2312" w:cs="仿宋_GB2312"/>
          <w:color w:val="121212"/>
          <w:spacing w:val="16"/>
          <w:sz w:val="32"/>
          <w:szCs w:val="32"/>
          <w:highlight w:val="none"/>
        </w:rPr>
        <w:t>策</w:t>
      </w:r>
      <w:r>
        <w:rPr>
          <w:rFonts w:hint="eastAsia" w:ascii="仿宋_GB2312" w:hAnsi="仿宋_GB2312" w:eastAsia="仿宋_GB2312" w:cs="仿宋_GB2312"/>
          <w:color w:val="121212"/>
          <w:spacing w:val="15"/>
          <w:sz w:val="32"/>
          <w:szCs w:val="32"/>
          <w:highlight w:val="none"/>
        </w:rPr>
        <w:t>有</w:t>
      </w:r>
      <w:r>
        <w:rPr>
          <w:rFonts w:hint="eastAsia" w:ascii="仿宋_GB2312" w:hAnsi="仿宋_GB2312" w:eastAsia="仿宋_GB2312" w:cs="仿宋_GB2312"/>
          <w:color w:val="121212"/>
          <w:spacing w:val="8"/>
          <w:sz w:val="32"/>
          <w:szCs w:val="32"/>
          <w:highlight w:val="none"/>
        </w:rPr>
        <w:t>深刻的理解和把握，能为被投企业在企业管理、市场开拓、上市等方面提供相应资源和服务。</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(七)其他</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792" w:firstLineChars="200"/>
        <w:jc w:val="both"/>
        <w:textAlignment w:val="baseline"/>
        <w:rPr>
          <w:rFonts w:hint="eastAsia" w:ascii="仿宋_GB2312" w:hAnsi="仿宋_GB2312" w:eastAsia="仿宋_GB2312" w:cs="仿宋_GB2312"/>
          <w:color w:val="121212"/>
          <w:spacing w:val="-5"/>
          <w:sz w:val="32"/>
          <w:szCs w:val="32"/>
          <w:highlight w:val="none"/>
        </w:rPr>
      </w:pPr>
      <w:r>
        <w:rPr>
          <w:rFonts w:hint="eastAsia" w:ascii="仿宋_GB2312" w:hAnsi="仿宋_GB2312" w:eastAsia="仿宋_GB2312" w:cs="仿宋_GB2312"/>
          <w:color w:val="121212"/>
          <w:spacing w:val="38"/>
          <w:sz w:val="32"/>
          <w:szCs w:val="32"/>
          <w:highlight w:val="none"/>
        </w:rPr>
        <w:t>子</w:t>
      </w:r>
      <w:r>
        <w:rPr>
          <w:rFonts w:hint="eastAsia" w:ascii="仿宋_GB2312" w:hAnsi="仿宋_GB2312" w:eastAsia="仿宋_GB2312" w:cs="仿宋_GB2312"/>
          <w:color w:val="121212"/>
          <w:spacing w:val="21"/>
          <w:sz w:val="32"/>
          <w:szCs w:val="32"/>
          <w:highlight w:val="none"/>
        </w:rPr>
        <w:t>基金管理人同意引导基金管理人有权视情况向子基</w:t>
      </w:r>
      <w:r>
        <w:rPr>
          <w:rFonts w:hint="eastAsia" w:ascii="仿宋_GB2312" w:hAnsi="仿宋_GB2312" w:eastAsia="仿宋_GB2312" w:cs="仿宋_GB2312"/>
          <w:color w:val="121212"/>
          <w:spacing w:val="16"/>
          <w:sz w:val="32"/>
          <w:szCs w:val="32"/>
          <w:highlight w:val="none"/>
        </w:rPr>
        <w:t>金</w:t>
      </w:r>
      <w:r>
        <w:rPr>
          <w:rFonts w:hint="eastAsia" w:ascii="仿宋_GB2312" w:hAnsi="仿宋_GB2312" w:eastAsia="仿宋_GB2312" w:cs="仿宋_GB2312"/>
          <w:color w:val="121212"/>
          <w:spacing w:val="14"/>
          <w:sz w:val="32"/>
          <w:szCs w:val="32"/>
          <w:highlight w:val="none"/>
        </w:rPr>
        <w:t>委</w:t>
      </w:r>
      <w:r>
        <w:rPr>
          <w:rFonts w:hint="eastAsia" w:ascii="仿宋_GB2312" w:hAnsi="仿宋_GB2312" w:eastAsia="仿宋_GB2312" w:cs="仿宋_GB2312"/>
          <w:color w:val="121212"/>
          <w:spacing w:val="8"/>
          <w:sz w:val="32"/>
          <w:szCs w:val="32"/>
          <w:highlight w:val="none"/>
        </w:rPr>
        <w:t>派一名观察员或投决会成员，观察员</w:t>
      </w:r>
      <w:r>
        <w:rPr>
          <w:rFonts w:hint="eastAsia" w:ascii="仿宋_GB2312" w:hAnsi="仿宋_GB2312" w:eastAsia="仿宋_GB2312" w:cs="仿宋_GB2312"/>
          <w:color w:val="121212"/>
          <w:spacing w:val="8"/>
          <w:sz w:val="32"/>
          <w:szCs w:val="32"/>
          <w:highlight w:val="none"/>
          <w:lang w:val="en-US" w:eastAsia="zh-CN"/>
        </w:rPr>
        <w:t>有权</w:t>
      </w:r>
      <w:r>
        <w:rPr>
          <w:rFonts w:hint="eastAsia" w:ascii="仿宋_GB2312" w:hAnsi="仿宋_GB2312" w:eastAsia="仿宋_GB2312" w:cs="仿宋_GB2312"/>
          <w:color w:val="121212"/>
          <w:spacing w:val="8"/>
          <w:sz w:val="32"/>
          <w:szCs w:val="32"/>
          <w:highlight w:val="none"/>
        </w:rPr>
        <w:t>列席子基金涉及投</w:t>
      </w:r>
      <w:r>
        <w:rPr>
          <w:rFonts w:hint="eastAsia" w:ascii="仿宋_GB2312" w:hAnsi="仿宋_GB2312" w:eastAsia="仿宋_GB2312" w:cs="仿宋_GB2312"/>
          <w:color w:val="121212"/>
          <w:spacing w:val="14"/>
          <w:sz w:val="32"/>
          <w:szCs w:val="32"/>
          <w:highlight w:val="none"/>
        </w:rPr>
        <w:t>资</w:t>
      </w:r>
      <w:r>
        <w:rPr>
          <w:rFonts w:hint="eastAsia" w:ascii="仿宋_GB2312" w:hAnsi="仿宋_GB2312" w:eastAsia="仿宋_GB2312" w:cs="仿宋_GB2312"/>
          <w:color w:val="121212"/>
          <w:spacing w:val="8"/>
          <w:sz w:val="32"/>
          <w:szCs w:val="32"/>
          <w:highlight w:val="none"/>
        </w:rPr>
        <w:t>项目审批决策的相关会议，包括但不限于立项会(如</w:t>
      </w:r>
      <w:r>
        <w:rPr>
          <w:rFonts w:hint="eastAsia" w:ascii="仿宋_GB2312" w:hAnsi="仿宋_GB2312" w:eastAsia="仿宋_GB2312" w:cs="仿宋_GB2312"/>
          <w:color w:val="121212"/>
          <w:spacing w:val="-8"/>
          <w:sz w:val="32"/>
          <w:szCs w:val="32"/>
          <w:highlight w:val="none"/>
        </w:rPr>
        <w:t>有</w:t>
      </w:r>
      <w:r>
        <w:rPr>
          <w:rFonts w:hint="eastAsia" w:ascii="仿宋_GB2312" w:hAnsi="仿宋_GB2312" w:eastAsia="仿宋_GB2312" w:cs="仿宋_GB2312"/>
          <w:color w:val="121212"/>
          <w:spacing w:val="-5"/>
          <w:sz w:val="32"/>
          <w:szCs w:val="32"/>
          <w:highlight w:val="none"/>
        </w:rPr>
        <w:t>)、投资决策委员会等。</w:t>
      </w:r>
    </w:p>
    <w:p>
      <w:pPr>
        <w:keepNext w:val="0"/>
        <w:keepLines w:val="0"/>
        <w:pageBreakBefore w:val="0"/>
        <w:widowControl/>
        <w:kinsoku w:val="0"/>
        <w:wordWrap/>
        <w:overflowPunct/>
        <w:topLinePunct w:val="0"/>
        <w:autoSpaceDE w:val="0"/>
        <w:autoSpaceDN w:val="0"/>
        <w:bidi w:val="0"/>
        <w:adjustRightInd w:val="0"/>
        <w:snapToGrid w:val="0"/>
        <w:spacing w:before="0" w:beforeLines="50" w:afterLines="50" w:line="560" w:lineRule="exact"/>
        <w:ind w:left="0" w:right="0" w:firstLine="672" w:firstLineChars="200"/>
        <w:jc w:val="left"/>
        <w:textAlignment w:val="baseline"/>
        <w:outlineLvl w:val="0"/>
        <w:rPr>
          <w:rFonts w:hint="eastAsia" w:ascii="黑体" w:hAnsi="黑体" w:eastAsia="黑体" w:cs="黑体"/>
          <w:color w:val="161616"/>
          <w:spacing w:val="8"/>
          <w:position w:val="4"/>
          <w:sz w:val="32"/>
          <w:szCs w:val="32"/>
          <w:highlight w:val="none"/>
        </w:rPr>
      </w:pPr>
      <w:r>
        <w:rPr>
          <w:rFonts w:hint="eastAsia" w:ascii="黑体" w:hAnsi="黑体" w:eastAsia="黑体" w:cs="黑体"/>
          <w:color w:val="161616"/>
          <w:spacing w:val="8"/>
          <w:position w:val="4"/>
          <w:sz w:val="32"/>
          <w:szCs w:val="32"/>
          <w:highlight w:val="none"/>
        </w:rPr>
        <w:t>二、申报子基金基本要求</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792"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38"/>
          <w:sz w:val="32"/>
          <w:szCs w:val="32"/>
          <w:highlight w:val="none"/>
        </w:rPr>
        <w:t>子</w:t>
      </w:r>
      <w:r>
        <w:rPr>
          <w:rFonts w:hint="eastAsia" w:ascii="仿宋_GB2312" w:hAnsi="仿宋_GB2312" w:eastAsia="仿宋_GB2312" w:cs="仿宋_GB2312"/>
          <w:color w:val="121212"/>
          <w:spacing w:val="21"/>
          <w:sz w:val="32"/>
          <w:szCs w:val="32"/>
          <w:highlight w:val="none"/>
        </w:rPr>
        <w:t>基金管理人向</w:t>
      </w:r>
      <w:bookmarkStart w:id="0" w:name="_GoBack"/>
      <w:r>
        <w:rPr>
          <w:rFonts w:hint="eastAsia" w:ascii="仿宋_GB2312" w:hAnsi="仿宋_GB2312" w:eastAsia="仿宋_GB2312" w:cs="仿宋_GB2312"/>
          <w:color w:val="121212"/>
          <w:spacing w:val="21"/>
          <w:sz w:val="32"/>
          <w:szCs w:val="32"/>
          <w:highlight w:val="none"/>
          <w:lang w:eastAsia="zh-CN"/>
        </w:rPr>
        <w:t>赣州市现代产业引导股权基金（</w:t>
      </w:r>
      <w:bookmarkEnd w:id="0"/>
      <w:r>
        <w:rPr>
          <w:rFonts w:hint="eastAsia" w:ascii="仿宋_GB2312" w:hAnsi="仿宋_GB2312" w:eastAsia="仿宋_GB2312" w:cs="仿宋_GB2312"/>
          <w:color w:val="121212"/>
          <w:spacing w:val="21"/>
          <w:sz w:val="32"/>
          <w:szCs w:val="32"/>
          <w:highlight w:val="none"/>
          <w:lang w:val="en-US" w:eastAsia="zh-CN"/>
        </w:rPr>
        <w:t>简称“引导基金”）</w:t>
      </w:r>
      <w:r>
        <w:rPr>
          <w:rFonts w:hint="eastAsia" w:ascii="仿宋_GB2312" w:hAnsi="仿宋_GB2312" w:eastAsia="仿宋_GB2312" w:cs="仿宋_GB2312"/>
          <w:color w:val="121212"/>
          <w:spacing w:val="21"/>
          <w:sz w:val="32"/>
          <w:szCs w:val="32"/>
          <w:highlight w:val="none"/>
        </w:rPr>
        <w:t>申报</w:t>
      </w:r>
      <w:r>
        <w:rPr>
          <w:rFonts w:hint="eastAsia" w:ascii="仿宋_GB2312" w:hAnsi="仿宋_GB2312" w:eastAsia="仿宋_GB2312" w:cs="仿宋_GB2312"/>
          <w:color w:val="121212"/>
          <w:spacing w:val="7"/>
          <w:sz w:val="32"/>
          <w:szCs w:val="32"/>
          <w:highlight w:val="none"/>
        </w:rPr>
        <w:t>子基金方案，应当符合下列要求：</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(一)组织形式</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6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5"/>
          <w:sz w:val="32"/>
          <w:szCs w:val="32"/>
          <w:highlight w:val="none"/>
        </w:rPr>
        <w:t>有限合伙制。</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(二)注册区域</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88"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12"/>
          <w:sz w:val="32"/>
          <w:szCs w:val="32"/>
          <w:highlight w:val="none"/>
        </w:rPr>
        <w:t>子</w:t>
      </w:r>
      <w:r>
        <w:rPr>
          <w:rFonts w:hint="eastAsia" w:ascii="仿宋_GB2312" w:hAnsi="仿宋_GB2312" w:eastAsia="仿宋_GB2312" w:cs="仿宋_GB2312"/>
          <w:color w:val="121212"/>
          <w:spacing w:val="10"/>
          <w:sz w:val="32"/>
          <w:szCs w:val="32"/>
          <w:highlight w:val="none"/>
        </w:rPr>
        <w:t>基</w:t>
      </w:r>
      <w:r>
        <w:rPr>
          <w:rFonts w:hint="eastAsia" w:ascii="仿宋_GB2312" w:hAnsi="仿宋_GB2312" w:eastAsia="仿宋_GB2312" w:cs="仿宋_GB2312"/>
          <w:color w:val="121212"/>
          <w:spacing w:val="6"/>
          <w:sz w:val="32"/>
          <w:szCs w:val="32"/>
          <w:highlight w:val="none"/>
        </w:rPr>
        <w:t>金优先注册在</w:t>
      </w:r>
      <w:r>
        <w:rPr>
          <w:rFonts w:hint="eastAsia" w:ascii="仿宋_GB2312" w:hAnsi="仿宋_GB2312" w:eastAsia="仿宋_GB2312" w:cs="仿宋_GB2312"/>
          <w:color w:val="121212"/>
          <w:spacing w:val="6"/>
          <w:sz w:val="32"/>
          <w:szCs w:val="32"/>
          <w:highlight w:val="none"/>
          <w:lang w:eastAsia="zh-CN"/>
        </w:rPr>
        <w:t>赣州市</w:t>
      </w:r>
      <w:r>
        <w:rPr>
          <w:rFonts w:hint="eastAsia" w:ascii="仿宋_GB2312" w:hAnsi="仿宋_GB2312" w:eastAsia="仿宋_GB2312" w:cs="仿宋_GB2312"/>
          <w:color w:val="121212"/>
          <w:spacing w:val="6"/>
          <w:sz w:val="32"/>
          <w:szCs w:val="32"/>
          <w:highlight w:val="none"/>
        </w:rPr>
        <w:t>内。</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(三)出资比例</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right="0" w:firstLine="728"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22"/>
          <w:sz w:val="32"/>
          <w:szCs w:val="32"/>
          <w:highlight w:val="none"/>
        </w:rPr>
        <w:t>引导基金对单一子基金的出资金额原则上不超过自</w:t>
      </w:r>
      <w:r>
        <w:rPr>
          <w:rFonts w:hint="eastAsia" w:ascii="仿宋_GB2312" w:hAnsi="仿宋_GB2312" w:eastAsia="仿宋_GB2312" w:cs="仿宋_GB2312"/>
          <w:color w:val="121212"/>
          <w:spacing w:val="18"/>
          <w:sz w:val="32"/>
          <w:szCs w:val="32"/>
          <w:highlight w:val="none"/>
        </w:rPr>
        <w:t>身</w:t>
      </w:r>
      <w:r>
        <w:rPr>
          <w:rFonts w:hint="eastAsia" w:ascii="仿宋_GB2312" w:hAnsi="仿宋_GB2312" w:eastAsia="仿宋_GB2312" w:cs="仿宋_GB2312"/>
          <w:color w:val="121212"/>
          <w:spacing w:val="8"/>
          <w:sz w:val="32"/>
          <w:szCs w:val="32"/>
          <w:highlight w:val="none"/>
        </w:rPr>
        <w:t>募集</w:t>
      </w:r>
      <w:r>
        <w:rPr>
          <w:rFonts w:hint="eastAsia" w:ascii="仿宋_GB2312" w:hAnsi="仿宋_GB2312" w:eastAsia="仿宋_GB2312" w:cs="仿宋_GB2312"/>
          <w:color w:val="121212"/>
          <w:spacing w:val="4"/>
          <w:sz w:val="32"/>
          <w:szCs w:val="32"/>
          <w:highlight w:val="none"/>
        </w:rPr>
        <w:t>规模的20%；引导基金的出资比例原则上不超过子基金</w:t>
      </w:r>
      <w:r>
        <w:rPr>
          <w:rFonts w:hint="eastAsia" w:ascii="仿宋_GB2312" w:hAnsi="仿宋_GB2312" w:eastAsia="仿宋_GB2312" w:cs="仿宋_GB2312"/>
          <w:color w:val="121212"/>
          <w:spacing w:val="-3"/>
          <w:sz w:val="32"/>
          <w:szCs w:val="32"/>
          <w:highlight w:val="none"/>
        </w:rPr>
        <w:t>募集规模的50%</w:t>
      </w:r>
      <w:r>
        <w:rPr>
          <w:rFonts w:hint="eastAsia" w:ascii="仿宋_GB2312" w:hAnsi="仿宋_GB2312" w:eastAsia="仿宋_GB2312" w:cs="仿宋_GB2312"/>
          <w:color w:val="121212"/>
          <w:spacing w:val="-2"/>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right="0" w:firstLine="672"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8"/>
          <w:sz w:val="32"/>
          <w:szCs w:val="32"/>
          <w:highlight w:val="none"/>
        </w:rPr>
        <w:t>子基金采用分期实缴的，子基金管理人需说明分期出</w:t>
      </w:r>
      <w:r>
        <w:rPr>
          <w:rFonts w:hint="eastAsia" w:ascii="仿宋_GB2312" w:hAnsi="仿宋_GB2312" w:eastAsia="仿宋_GB2312" w:cs="仿宋_GB2312"/>
          <w:color w:val="121212"/>
          <w:spacing w:val="4"/>
          <w:sz w:val="32"/>
          <w:szCs w:val="32"/>
          <w:highlight w:val="none"/>
        </w:rPr>
        <w:t>资</w:t>
      </w:r>
      <w:r>
        <w:rPr>
          <w:rFonts w:hint="eastAsia" w:ascii="仿宋_GB2312" w:hAnsi="仿宋_GB2312" w:eastAsia="仿宋_GB2312" w:cs="仿宋_GB2312"/>
          <w:color w:val="121212"/>
          <w:spacing w:val="16"/>
          <w:sz w:val="32"/>
          <w:szCs w:val="32"/>
          <w:highlight w:val="none"/>
        </w:rPr>
        <w:t>的</w:t>
      </w:r>
      <w:r>
        <w:rPr>
          <w:rFonts w:hint="eastAsia" w:ascii="仿宋_GB2312" w:hAnsi="仿宋_GB2312" w:eastAsia="仿宋_GB2312" w:cs="仿宋_GB2312"/>
          <w:color w:val="121212"/>
          <w:spacing w:val="14"/>
          <w:sz w:val="32"/>
          <w:szCs w:val="32"/>
          <w:highlight w:val="none"/>
        </w:rPr>
        <w:t>规</w:t>
      </w:r>
      <w:r>
        <w:rPr>
          <w:rFonts w:hint="eastAsia" w:ascii="仿宋_GB2312" w:hAnsi="仿宋_GB2312" w:eastAsia="仿宋_GB2312" w:cs="仿宋_GB2312"/>
          <w:color w:val="121212"/>
          <w:spacing w:val="8"/>
          <w:sz w:val="32"/>
          <w:szCs w:val="32"/>
          <w:highlight w:val="none"/>
        </w:rPr>
        <w:t>划、投资进度安排及后期出资缴付条件等。引导基金应</w:t>
      </w:r>
      <w:r>
        <w:rPr>
          <w:rFonts w:hint="eastAsia" w:ascii="仿宋_GB2312" w:hAnsi="仿宋_GB2312" w:eastAsia="仿宋_GB2312" w:cs="仿宋_GB2312"/>
          <w:color w:val="121212"/>
          <w:spacing w:val="16"/>
          <w:sz w:val="32"/>
          <w:szCs w:val="32"/>
          <w:highlight w:val="none"/>
        </w:rPr>
        <w:t>与其</w:t>
      </w:r>
      <w:r>
        <w:rPr>
          <w:rFonts w:hint="eastAsia" w:ascii="仿宋_GB2312" w:hAnsi="仿宋_GB2312" w:eastAsia="仿宋_GB2312" w:cs="仿宋_GB2312"/>
          <w:color w:val="121212"/>
          <w:spacing w:val="9"/>
          <w:sz w:val="32"/>
          <w:szCs w:val="32"/>
          <w:highlight w:val="none"/>
        </w:rPr>
        <w:t>他</w:t>
      </w:r>
      <w:r>
        <w:rPr>
          <w:rFonts w:hint="eastAsia" w:ascii="仿宋_GB2312" w:hAnsi="仿宋_GB2312" w:eastAsia="仿宋_GB2312" w:cs="仿宋_GB2312"/>
          <w:color w:val="121212"/>
          <w:spacing w:val="8"/>
          <w:sz w:val="32"/>
          <w:szCs w:val="32"/>
          <w:highlight w:val="none"/>
        </w:rPr>
        <w:t>出资人按认缴出资额同比例分批出资，同时保证引导基金的出资时间不早于其他出资人</w:t>
      </w:r>
      <w:r>
        <w:rPr>
          <w:rFonts w:hint="eastAsia" w:ascii="仿宋_GB2312" w:hAnsi="仿宋_GB2312" w:eastAsia="仿宋_GB2312" w:cs="仿宋_GB2312"/>
          <w:color w:val="121212"/>
          <w:spacing w:val="8"/>
          <w:sz w:val="32"/>
          <w:szCs w:val="32"/>
          <w:highlight w:val="none"/>
          <w:lang w:eastAsia="zh-CN"/>
        </w:rPr>
        <w:t>，</w:t>
      </w:r>
      <w:r>
        <w:rPr>
          <w:rFonts w:hint="eastAsia" w:ascii="仿宋_GB2312" w:hAnsi="仿宋_GB2312" w:eastAsia="仿宋_GB2312" w:cs="仿宋_GB2312"/>
          <w:color w:val="121212"/>
          <w:spacing w:val="8"/>
          <w:sz w:val="32"/>
          <w:szCs w:val="32"/>
          <w:highlight w:val="none"/>
        </w:rPr>
        <w:t>国家级引导基金及其他省级引导基金的出资除外。</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(四)存续期限</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76"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9"/>
          <w:sz w:val="32"/>
          <w:szCs w:val="32"/>
          <w:highlight w:val="none"/>
        </w:rPr>
        <w:t>子基金存续期限(投资期+退出期)不超过7年，延</w:t>
      </w:r>
      <w:r>
        <w:rPr>
          <w:rFonts w:hint="eastAsia" w:ascii="仿宋_GB2312" w:hAnsi="仿宋_GB2312" w:eastAsia="仿宋_GB2312" w:cs="仿宋_GB2312"/>
          <w:color w:val="121212"/>
          <w:spacing w:val="5"/>
          <w:sz w:val="32"/>
          <w:szCs w:val="32"/>
          <w:highlight w:val="none"/>
        </w:rPr>
        <w:t>长</w:t>
      </w:r>
      <w:r>
        <w:rPr>
          <w:rFonts w:hint="eastAsia" w:ascii="仿宋_GB2312" w:hAnsi="仿宋_GB2312" w:eastAsia="仿宋_GB2312" w:cs="仿宋_GB2312"/>
          <w:color w:val="121212"/>
          <w:spacing w:val="10"/>
          <w:sz w:val="32"/>
          <w:szCs w:val="32"/>
          <w:highlight w:val="none"/>
        </w:rPr>
        <w:t>期</w:t>
      </w:r>
      <w:r>
        <w:rPr>
          <w:rFonts w:hint="eastAsia" w:ascii="仿宋_GB2312" w:hAnsi="仿宋_GB2312" w:eastAsia="仿宋_GB2312" w:cs="仿宋_GB2312"/>
          <w:color w:val="121212"/>
          <w:spacing w:val="7"/>
          <w:sz w:val="32"/>
          <w:szCs w:val="32"/>
          <w:highlight w:val="none"/>
        </w:rPr>
        <w:t>不</w:t>
      </w:r>
      <w:r>
        <w:rPr>
          <w:rFonts w:hint="eastAsia" w:ascii="仿宋_GB2312" w:hAnsi="仿宋_GB2312" w:eastAsia="仿宋_GB2312" w:cs="仿宋_GB2312"/>
          <w:color w:val="121212"/>
          <w:spacing w:val="5"/>
          <w:sz w:val="32"/>
          <w:szCs w:val="32"/>
          <w:highlight w:val="none"/>
        </w:rPr>
        <w:t>超过2年，可根据实际情况调整，但不超过引导基金存</w:t>
      </w:r>
      <w:r>
        <w:rPr>
          <w:rFonts w:hint="eastAsia" w:ascii="仿宋_GB2312" w:hAnsi="仿宋_GB2312" w:eastAsia="仿宋_GB2312" w:cs="仿宋_GB2312"/>
          <w:color w:val="121212"/>
          <w:spacing w:val="2"/>
          <w:sz w:val="32"/>
          <w:szCs w:val="32"/>
          <w:highlight w:val="none"/>
        </w:rPr>
        <w:t>续期限。</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lang w:eastAsia="zh-CN"/>
        </w:rPr>
        <w:t>（</w:t>
      </w:r>
      <w:r>
        <w:rPr>
          <w:rFonts w:hint="eastAsia" w:ascii="楷体_GB2312" w:hAnsi="楷体_GB2312" w:eastAsia="楷体_GB2312" w:cs="楷体_GB2312"/>
          <w:color w:val="121212"/>
          <w:spacing w:val="24"/>
          <w:sz w:val="32"/>
          <w:szCs w:val="32"/>
          <w:highlight w:val="none"/>
          <w:lang w:val="en-US" w:eastAsia="zh-CN"/>
        </w:rPr>
        <w:t>五</w:t>
      </w:r>
      <w:r>
        <w:rPr>
          <w:rFonts w:hint="eastAsia" w:ascii="楷体_GB2312" w:hAnsi="楷体_GB2312" w:eastAsia="楷体_GB2312" w:cs="楷体_GB2312"/>
          <w:color w:val="121212"/>
          <w:spacing w:val="24"/>
          <w:sz w:val="32"/>
          <w:szCs w:val="32"/>
          <w:highlight w:val="none"/>
          <w:lang w:eastAsia="zh-CN"/>
        </w:rPr>
        <w:t>）</w:t>
      </w:r>
      <w:r>
        <w:rPr>
          <w:rFonts w:hint="eastAsia" w:ascii="楷体_GB2312" w:hAnsi="楷体_GB2312" w:eastAsia="楷体_GB2312" w:cs="楷体_GB2312"/>
          <w:color w:val="121212"/>
          <w:spacing w:val="24"/>
          <w:sz w:val="32"/>
          <w:szCs w:val="32"/>
          <w:highlight w:val="none"/>
        </w:rPr>
        <w:t>投资领域</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76" w:firstLineChars="200"/>
        <w:jc w:val="both"/>
        <w:textAlignment w:val="baseline"/>
        <w:rPr>
          <w:rFonts w:hint="eastAsia" w:ascii="仿宋_GB2312" w:hAnsi="仿宋_GB2312" w:eastAsia="仿宋_GB2312" w:cs="仿宋_GB2312"/>
          <w:color w:val="121212"/>
          <w:spacing w:val="9"/>
          <w:sz w:val="32"/>
          <w:szCs w:val="32"/>
          <w:highlight w:val="none"/>
          <w:lang w:val="en-US" w:eastAsia="zh-CN"/>
        </w:rPr>
      </w:pPr>
      <w:r>
        <w:rPr>
          <w:rFonts w:hint="eastAsia" w:ascii="仿宋_GB2312" w:hAnsi="仿宋_GB2312" w:eastAsia="仿宋_GB2312" w:cs="仿宋_GB2312"/>
          <w:color w:val="121212"/>
          <w:spacing w:val="9"/>
          <w:sz w:val="32"/>
          <w:szCs w:val="32"/>
          <w:highlight w:val="none"/>
          <w:lang w:val="en-US" w:eastAsia="zh-CN"/>
        </w:rPr>
        <w:t>主要投向赣州“1+5+N”产业集群，</w:t>
      </w:r>
      <w:r>
        <w:rPr>
          <w:rFonts w:hint="eastAsia" w:ascii="仿宋_GB2312" w:hAnsi="仿宋_GB2312" w:eastAsia="仿宋_GB2312" w:cs="仿宋_GB2312"/>
          <w:color w:val="121212"/>
          <w:spacing w:val="9"/>
          <w:sz w:val="32"/>
          <w:szCs w:val="32"/>
          <w:highlight w:val="none"/>
        </w:rPr>
        <w:t>重点聚焦</w:t>
      </w:r>
      <w:r>
        <w:rPr>
          <w:rFonts w:hint="eastAsia" w:ascii="仿宋_GB2312" w:hAnsi="仿宋_GB2312" w:eastAsia="仿宋_GB2312" w:cs="仿宋_GB2312"/>
          <w:color w:val="121212"/>
          <w:spacing w:val="9"/>
          <w:sz w:val="32"/>
          <w:szCs w:val="32"/>
          <w:highlight w:val="none"/>
          <w:lang w:val="en-US" w:eastAsia="zh-CN"/>
        </w:rPr>
        <w:t>现代家居产业、有色金属产业、电子信息产业、纺织服装产业、新能源及新能源汽车产业、医药食品产业及“N”个特色产业集群</w:t>
      </w:r>
      <w:r>
        <w:rPr>
          <w:rFonts w:hint="eastAsia" w:ascii="仿宋_GB2312" w:hAnsi="仿宋_GB2312" w:eastAsia="仿宋_GB2312" w:cs="仿宋_GB2312"/>
          <w:color w:val="121212"/>
          <w:spacing w:val="9"/>
          <w:sz w:val="32"/>
          <w:szCs w:val="32"/>
          <w:highlight w:val="none"/>
        </w:rPr>
        <w:t>，</w:t>
      </w:r>
      <w:r>
        <w:rPr>
          <w:rFonts w:hint="eastAsia" w:ascii="仿宋_GB2312" w:hAnsi="仿宋_GB2312" w:eastAsia="仿宋_GB2312" w:cs="仿宋_GB2312"/>
          <w:color w:val="121212"/>
          <w:spacing w:val="9"/>
          <w:sz w:val="32"/>
          <w:szCs w:val="32"/>
          <w:highlight w:val="none"/>
          <w:lang w:val="en-US" w:eastAsia="zh-CN"/>
        </w:rPr>
        <w:t>通过“投外引内、投内培强”等方式，有效发挥引导基金对产业升级、产业落地和产业发展的促进作用，构建赣州市现代产业体系。</w:t>
      </w:r>
    </w:p>
    <w:p>
      <w:pPr>
        <w:keepNext w:val="0"/>
        <w:keepLines w:val="0"/>
        <w:pageBreakBefore w:val="0"/>
        <w:widowControl/>
        <w:kinsoku w:val="0"/>
        <w:wordWrap/>
        <w:overflowPunct/>
        <w:topLinePunct w:val="0"/>
        <w:autoSpaceDE w:val="0"/>
        <w:autoSpaceDN w:val="0"/>
        <w:bidi w:val="0"/>
        <w:adjustRightInd w:val="0"/>
        <w:snapToGrid w:val="0"/>
        <w:spacing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(六)投资地域及返投比例</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72"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8"/>
          <w:sz w:val="32"/>
          <w:szCs w:val="32"/>
          <w:highlight w:val="none"/>
        </w:rPr>
        <w:t>子基金着重投资于</w:t>
      </w:r>
      <w:r>
        <w:rPr>
          <w:rFonts w:hint="eastAsia" w:ascii="仿宋_GB2312" w:hAnsi="仿宋_GB2312" w:eastAsia="仿宋_GB2312" w:cs="仿宋_GB2312"/>
          <w:color w:val="121212"/>
          <w:spacing w:val="8"/>
          <w:sz w:val="32"/>
          <w:szCs w:val="32"/>
          <w:highlight w:val="none"/>
          <w:lang w:eastAsia="zh-CN"/>
        </w:rPr>
        <w:t>赣州市</w:t>
      </w:r>
      <w:r>
        <w:rPr>
          <w:rFonts w:hint="eastAsia" w:ascii="仿宋_GB2312" w:hAnsi="仿宋_GB2312" w:eastAsia="仿宋_GB2312" w:cs="仿宋_GB2312"/>
          <w:color w:val="121212"/>
          <w:spacing w:val="8"/>
          <w:sz w:val="32"/>
          <w:szCs w:val="32"/>
          <w:highlight w:val="none"/>
        </w:rPr>
        <w:t>的项目，且</w:t>
      </w:r>
      <w:r>
        <w:rPr>
          <w:rFonts w:hint="default" w:ascii="仿宋_GB2312" w:hAnsi="仿宋_GB2312" w:eastAsia="仿宋_GB2312" w:cs="仿宋_GB2312"/>
          <w:color w:val="121212"/>
          <w:spacing w:val="8"/>
          <w:sz w:val="32"/>
          <w:szCs w:val="32"/>
          <w:highlight w:val="none"/>
          <w:lang w:val="en-US"/>
        </w:rPr>
        <w:t>投资</w:t>
      </w:r>
      <w:r>
        <w:rPr>
          <w:rFonts w:hint="eastAsia" w:ascii="仿宋_GB2312" w:hAnsi="仿宋_GB2312" w:eastAsia="仿宋_GB2312" w:cs="仿宋_GB2312"/>
          <w:color w:val="121212"/>
          <w:spacing w:val="8"/>
          <w:sz w:val="32"/>
          <w:szCs w:val="32"/>
          <w:highlight w:val="none"/>
        </w:rPr>
        <w:t>于</w:t>
      </w:r>
      <w:r>
        <w:rPr>
          <w:rFonts w:hint="eastAsia" w:ascii="仿宋_GB2312" w:hAnsi="仿宋_GB2312" w:eastAsia="仿宋_GB2312" w:cs="仿宋_GB2312"/>
          <w:color w:val="121212"/>
          <w:spacing w:val="8"/>
          <w:sz w:val="32"/>
          <w:szCs w:val="32"/>
          <w:highlight w:val="none"/>
          <w:lang w:eastAsia="zh-CN"/>
        </w:rPr>
        <w:t>赣州市</w:t>
      </w:r>
      <w:r>
        <w:rPr>
          <w:rFonts w:hint="eastAsia" w:ascii="仿宋_GB2312" w:hAnsi="仿宋_GB2312" w:eastAsia="仿宋_GB2312" w:cs="仿宋_GB2312"/>
          <w:color w:val="121212"/>
          <w:spacing w:val="-1"/>
          <w:sz w:val="32"/>
          <w:szCs w:val="32"/>
          <w:highlight w:val="none"/>
        </w:rPr>
        <w:t>的项目金额不低于引</w:t>
      </w:r>
      <w:r>
        <w:rPr>
          <w:rFonts w:hint="eastAsia" w:ascii="仿宋_GB2312" w:hAnsi="仿宋_GB2312" w:eastAsia="仿宋_GB2312" w:cs="仿宋_GB2312"/>
          <w:color w:val="121212"/>
          <w:sz w:val="32"/>
          <w:szCs w:val="32"/>
          <w:highlight w:val="none"/>
        </w:rPr>
        <w:t>导基金出资额的1.</w:t>
      </w:r>
      <w:r>
        <w:rPr>
          <w:rFonts w:hint="eastAsia" w:ascii="仿宋_GB2312" w:hAnsi="仿宋_GB2312" w:eastAsia="仿宋_GB2312" w:cs="仿宋_GB2312"/>
          <w:color w:val="121212"/>
          <w:sz w:val="32"/>
          <w:szCs w:val="32"/>
          <w:highlight w:val="none"/>
          <w:lang w:val="en-US" w:eastAsia="zh-CN"/>
        </w:rPr>
        <w:t>2</w:t>
      </w:r>
      <w:r>
        <w:rPr>
          <w:rFonts w:hint="eastAsia" w:ascii="仿宋_GB2312" w:hAnsi="仿宋_GB2312" w:eastAsia="仿宋_GB2312" w:cs="仿宋_GB2312"/>
          <w:color w:val="121212"/>
          <w:sz w:val="32"/>
          <w:szCs w:val="32"/>
          <w:highlight w:val="none"/>
        </w:rPr>
        <w:t>倍，“投资于</w:t>
      </w:r>
      <w:r>
        <w:rPr>
          <w:rFonts w:hint="eastAsia" w:ascii="仿宋_GB2312" w:hAnsi="仿宋_GB2312" w:eastAsia="仿宋_GB2312" w:cs="仿宋_GB2312"/>
          <w:color w:val="121212"/>
          <w:sz w:val="32"/>
          <w:szCs w:val="32"/>
          <w:highlight w:val="none"/>
          <w:lang w:eastAsia="zh-CN"/>
        </w:rPr>
        <w:t>赣州市</w:t>
      </w:r>
      <w:r>
        <w:rPr>
          <w:rFonts w:hint="eastAsia" w:ascii="仿宋_GB2312" w:hAnsi="仿宋_GB2312" w:eastAsia="仿宋_GB2312" w:cs="仿宋_GB2312"/>
          <w:color w:val="121212"/>
          <w:spacing w:val="2"/>
          <w:sz w:val="32"/>
          <w:szCs w:val="32"/>
          <w:highlight w:val="none"/>
        </w:rPr>
        <w:t>的资金”</w:t>
      </w:r>
      <w:r>
        <w:rPr>
          <w:rFonts w:hint="eastAsia" w:ascii="仿宋_GB2312" w:hAnsi="仿宋_GB2312" w:eastAsia="仿宋_GB2312" w:cs="仿宋_GB2312"/>
          <w:color w:val="121212"/>
          <w:spacing w:val="1"/>
          <w:sz w:val="32"/>
          <w:szCs w:val="32"/>
          <w:highlight w:val="none"/>
        </w:rPr>
        <w:t>指：</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64"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6"/>
          <w:sz w:val="32"/>
          <w:szCs w:val="32"/>
          <w:highlight w:val="none"/>
        </w:rPr>
        <w:t>1.注册登记在</w:t>
      </w:r>
      <w:r>
        <w:rPr>
          <w:rFonts w:hint="eastAsia" w:ascii="仿宋_GB2312" w:hAnsi="仿宋_GB2312" w:eastAsia="仿宋_GB2312" w:cs="仿宋_GB2312"/>
          <w:color w:val="121212"/>
          <w:spacing w:val="6"/>
          <w:sz w:val="32"/>
          <w:szCs w:val="32"/>
          <w:highlight w:val="none"/>
          <w:lang w:eastAsia="zh-CN"/>
        </w:rPr>
        <w:t>赣州市</w:t>
      </w:r>
      <w:r>
        <w:rPr>
          <w:rFonts w:hint="eastAsia" w:ascii="仿宋_GB2312" w:hAnsi="仿宋_GB2312" w:eastAsia="仿宋_GB2312" w:cs="仿宋_GB2312"/>
          <w:color w:val="121212"/>
          <w:spacing w:val="6"/>
          <w:sz w:val="32"/>
          <w:szCs w:val="32"/>
          <w:highlight w:val="none"/>
        </w:rPr>
        <w:t>的企业</w:t>
      </w:r>
      <w:r>
        <w:rPr>
          <w:rFonts w:hint="eastAsia" w:ascii="仿宋_GB2312" w:hAnsi="仿宋_GB2312" w:eastAsia="仿宋_GB2312" w:cs="仿宋_GB2312"/>
          <w:color w:val="121212"/>
          <w:spacing w:val="5"/>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728"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22"/>
          <w:sz w:val="32"/>
          <w:szCs w:val="32"/>
          <w:highlight w:val="none"/>
        </w:rPr>
        <w:t>2</w:t>
      </w:r>
      <w:r>
        <w:rPr>
          <w:rFonts w:hint="eastAsia" w:ascii="仿宋_GB2312" w:hAnsi="仿宋_GB2312" w:eastAsia="仿宋_GB2312" w:cs="仿宋_GB2312"/>
          <w:color w:val="121212"/>
          <w:spacing w:val="18"/>
          <w:sz w:val="32"/>
          <w:szCs w:val="32"/>
          <w:highlight w:val="none"/>
        </w:rPr>
        <w:t>.</w:t>
      </w:r>
      <w:r>
        <w:rPr>
          <w:rFonts w:hint="eastAsia" w:ascii="仿宋_GB2312" w:hAnsi="仿宋_GB2312" w:eastAsia="仿宋_GB2312" w:cs="仿宋_GB2312"/>
          <w:color w:val="121212"/>
          <w:spacing w:val="11"/>
          <w:sz w:val="32"/>
          <w:szCs w:val="32"/>
          <w:highlight w:val="none"/>
        </w:rPr>
        <w:t>投资的</w:t>
      </w:r>
      <w:r>
        <w:rPr>
          <w:rFonts w:hint="eastAsia" w:ascii="仿宋_GB2312" w:hAnsi="仿宋_GB2312" w:eastAsia="仿宋_GB2312" w:cs="仿宋_GB2312"/>
          <w:color w:val="121212"/>
          <w:spacing w:val="11"/>
          <w:sz w:val="32"/>
          <w:szCs w:val="32"/>
          <w:highlight w:val="none"/>
          <w:lang w:eastAsia="zh-CN"/>
        </w:rPr>
        <w:t>赣州市</w:t>
      </w:r>
      <w:r>
        <w:rPr>
          <w:rFonts w:hint="eastAsia" w:ascii="仿宋_GB2312" w:hAnsi="仿宋_GB2312" w:eastAsia="仿宋_GB2312" w:cs="仿宋_GB2312"/>
          <w:color w:val="121212"/>
          <w:spacing w:val="11"/>
          <w:sz w:val="32"/>
          <w:szCs w:val="32"/>
          <w:highlight w:val="none"/>
        </w:rPr>
        <w:t>范围外企业以股权投资方式投资</w:t>
      </w:r>
      <w:r>
        <w:rPr>
          <w:rFonts w:hint="eastAsia" w:ascii="仿宋_GB2312" w:hAnsi="仿宋_GB2312" w:eastAsia="仿宋_GB2312" w:cs="仿宋_GB2312"/>
          <w:color w:val="121212"/>
          <w:spacing w:val="11"/>
          <w:sz w:val="32"/>
          <w:szCs w:val="32"/>
          <w:highlight w:val="none"/>
          <w:lang w:eastAsia="zh-CN"/>
        </w:rPr>
        <w:t>赣州市</w:t>
      </w:r>
      <w:r>
        <w:rPr>
          <w:rFonts w:hint="eastAsia" w:ascii="仿宋_GB2312" w:hAnsi="仿宋_GB2312" w:eastAsia="仿宋_GB2312" w:cs="仿宋_GB2312"/>
          <w:color w:val="121212"/>
          <w:spacing w:val="7"/>
          <w:sz w:val="32"/>
          <w:szCs w:val="32"/>
          <w:highlight w:val="none"/>
        </w:rPr>
        <w:t>范围内已有企业的；</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728"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22"/>
          <w:sz w:val="32"/>
          <w:szCs w:val="32"/>
          <w:highlight w:val="none"/>
        </w:rPr>
        <w:t>3</w:t>
      </w:r>
      <w:r>
        <w:rPr>
          <w:rFonts w:hint="eastAsia" w:ascii="仿宋_GB2312" w:hAnsi="仿宋_GB2312" w:eastAsia="仿宋_GB2312" w:cs="仿宋_GB2312"/>
          <w:color w:val="121212"/>
          <w:spacing w:val="12"/>
          <w:sz w:val="32"/>
          <w:szCs w:val="32"/>
          <w:highlight w:val="none"/>
        </w:rPr>
        <w:t>.</w:t>
      </w:r>
      <w:r>
        <w:rPr>
          <w:rFonts w:hint="eastAsia" w:ascii="仿宋_GB2312" w:hAnsi="仿宋_GB2312" w:eastAsia="仿宋_GB2312" w:cs="仿宋_GB2312"/>
          <w:color w:val="121212"/>
          <w:spacing w:val="11"/>
          <w:sz w:val="32"/>
          <w:szCs w:val="32"/>
          <w:highlight w:val="none"/>
        </w:rPr>
        <w:t>投资的</w:t>
      </w:r>
      <w:r>
        <w:rPr>
          <w:rFonts w:hint="eastAsia" w:ascii="仿宋_GB2312" w:hAnsi="仿宋_GB2312" w:eastAsia="仿宋_GB2312" w:cs="仿宋_GB2312"/>
          <w:color w:val="121212"/>
          <w:spacing w:val="11"/>
          <w:sz w:val="32"/>
          <w:szCs w:val="32"/>
          <w:highlight w:val="none"/>
          <w:lang w:eastAsia="zh-CN"/>
        </w:rPr>
        <w:t>赣州市</w:t>
      </w:r>
      <w:r>
        <w:rPr>
          <w:rFonts w:hint="eastAsia" w:ascii="仿宋_GB2312" w:hAnsi="仿宋_GB2312" w:eastAsia="仿宋_GB2312" w:cs="仿宋_GB2312"/>
          <w:color w:val="121212"/>
          <w:spacing w:val="11"/>
          <w:sz w:val="32"/>
          <w:szCs w:val="32"/>
          <w:highlight w:val="none"/>
        </w:rPr>
        <w:t>范围外企业在</w:t>
      </w:r>
      <w:r>
        <w:rPr>
          <w:rFonts w:hint="eastAsia" w:ascii="仿宋_GB2312" w:hAnsi="仿宋_GB2312" w:eastAsia="仿宋_GB2312" w:cs="仿宋_GB2312"/>
          <w:color w:val="121212"/>
          <w:spacing w:val="11"/>
          <w:sz w:val="32"/>
          <w:szCs w:val="32"/>
          <w:highlight w:val="none"/>
          <w:lang w:eastAsia="zh-CN"/>
        </w:rPr>
        <w:t>赣州市</w:t>
      </w:r>
      <w:r>
        <w:rPr>
          <w:rFonts w:hint="eastAsia" w:ascii="仿宋_GB2312" w:hAnsi="仿宋_GB2312" w:eastAsia="仿宋_GB2312" w:cs="仿宋_GB2312"/>
          <w:color w:val="121212"/>
          <w:spacing w:val="11"/>
          <w:sz w:val="32"/>
          <w:szCs w:val="32"/>
          <w:highlight w:val="none"/>
        </w:rPr>
        <w:t>范围内设立主</w:t>
      </w:r>
      <w:r>
        <w:rPr>
          <w:rFonts w:hint="eastAsia" w:ascii="仿宋_GB2312" w:hAnsi="仿宋_GB2312" w:eastAsia="仿宋_GB2312" w:cs="仿宋_GB2312"/>
          <w:color w:val="121212"/>
          <w:spacing w:val="12"/>
          <w:sz w:val="32"/>
          <w:szCs w:val="32"/>
          <w:highlight w:val="none"/>
        </w:rPr>
        <w:t>要</w:t>
      </w:r>
      <w:r>
        <w:rPr>
          <w:rFonts w:hint="eastAsia" w:ascii="仿宋_GB2312" w:hAnsi="仿宋_GB2312" w:eastAsia="仿宋_GB2312" w:cs="仿宋_GB2312"/>
          <w:color w:val="121212"/>
          <w:spacing w:val="8"/>
          <w:sz w:val="32"/>
          <w:szCs w:val="32"/>
          <w:highlight w:val="none"/>
        </w:rPr>
        <w:t>负</w:t>
      </w:r>
      <w:r>
        <w:rPr>
          <w:rFonts w:hint="eastAsia" w:ascii="仿宋_GB2312" w:hAnsi="仿宋_GB2312" w:eastAsia="仿宋_GB2312" w:cs="仿宋_GB2312"/>
          <w:color w:val="121212"/>
          <w:spacing w:val="6"/>
          <w:sz w:val="32"/>
          <w:szCs w:val="32"/>
          <w:highlight w:val="none"/>
        </w:rPr>
        <w:t>责生产</w:t>
      </w:r>
      <w:r>
        <w:rPr>
          <w:rFonts w:hint="eastAsia" w:ascii="仿宋_GB2312" w:hAnsi="仿宋_GB2312" w:eastAsia="仿宋_GB2312" w:cs="仿宋_GB2312"/>
          <w:color w:val="121212"/>
          <w:spacing w:val="6"/>
          <w:sz w:val="32"/>
          <w:szCs w:val="32"/>
          <w:highlight w:val="none"/>
          <w:lang w:val="en-US" w:eastAsia="zh-CN"/>
        </w:rPr>
        <w:t>或</w:t>
      </w:r>
      <w:r>
        <w:rPr>
          <w:rFonts w:hint="eastAsia" w:ascii="仿宋_GB2312" w:hAnsi="仿宋_GB2312" w:eastAsia="仿宋_GB2312" w:cs="仿宋_GB2312"/>
          <w:color w:val="121212"/>
          <w:spacing w:val="6"/>
          <w:sz w:val="32"/>
          <w:szCs w:val="32"/>
          <w:highlight w:val="none"/>
        </w:rPr>
        <w:t>研发的子公司；</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88"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12"/>
          <w:sz w:val="32"/>
          <w:szCs w:val="32"/>
          <w:highlight w:val="none"/>
        </w:rPr>
        <w:t>4.</w:t>
      </w:r>
      <w:r>
        <w:rPr>
          <w:rFonts w:hint="eastAsia" w:ascii="仿宋_GB2312" w:hAnsi="仿宋_GB2312" w:eastAsia="仿宋_GB2312" w:cs="仿宋_GB2312"/>
          <w:color w:val="121212"/>
          <w:spacing w:val="12"/>
          <w:sz w:val="32"/>
          <w:szCs w:val="32"/>
          <w:highlight w:val="none"/>
          <w:lang w:eastAsia="zh-CN"/>
        </w:rPr>
        <w:t>赣州市</w:t>
      </w:r>
      <w:r>
        <w:rPr>
          <w:rFonts w:hint="eastAsia" w:ascii="仿宋_GB2312" w:hAnsi="仿宋_GB2312" w:eastAsia="仿宋_GB2312" w:cs="仿宋_GB2312"/>
          <w:color w:val="121212"/>
          <w:spacing w:val="12"/>
          <w:sz w:val="32"/>
          <w:szCs w:val="32"/>
          <w:highlight w:val="none"/>
        </w:rPr>
        <w:t>范围内引进落地法人企业并有实质性经营</w:t>
      </w:r>
      <w:r>
        <w:rPr>
          <w:rFonts w:hint="eastAsia" w:ascii="仿宋_GB2312" w:hAnsi="仿宋_GB2312" w:eastAsia="仿宋_GB2312" w:cs="仿宋_GB2312"/>
          <w:color w:val="121212"/>
          <w:spacing w:val="7"/>
          <w:sz w:val="32"/>
          <w:szCs w:val="32"/>
          <w:highlight w:val="none"/>
        </w:rPr>
        <w:t>活</w:t>
      </w:r>
      <w:r>
        <w:rPr>
          <w:rFonts w:hint="eastAsia" w:ascii="仿宋_GB2312" w:hAnsi="仿宋_GB2312" w:eastAsia="仿宋_GB2312" w:cs="仿宋_GB2312"/>
          <w:color w:val="121212"/>
          <w:spacing w:val="-3"/>
          <w:sz w:val="32"/>
          <w:szCs w:val="32"/>
          <w:highlight w:val="none"/>
        </w:rPr>
        <w:t>动</w:t>
      </w:r>
      <w:r>
        <w:rPr>
          <w:rFonts w:hint="eastAsia" w:ascii="仿宋_GB2312" w:hAnsi="仿宋_GB2312" w:eastAsia="仿宋_GB2312" w:cs="仿宋_GB2312"/>
          <w:color w:val="121212"/>
          <w:spacing w:val="-2"/>
          <w:sz w:val="32"/>
          <w:szCs w:val="32"/>
          <w:highlight w:val="none"/>
        </w:rPr>
        <w:t>的；</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72"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8"/>
          <w:sz w:val="32"/>
          <w:szCs w:val="32"/>
          <w:highlight w:val="none"/>
        </w:rPr>
        <w:t>5.子基金管理人在管的其他基金新增投资</w:t>
      </w:r>
      <w:r>
        <w:rPr>
          <w:rFonts w:hint="eastAsia" w:ascii="仿宋_GB2312" w:hAnsi="仿宋_GB2312" w:eastAsia="仿宋_GB2312" w:cs="仿宋_GB2312"/>
          <w:color w:val="121212"/>
          <w:spacing w:val="8"/>
          <w:sz w:val="32"/>
          <w:szCs w:val="32"/>
          <w:highlight w:val="none"/>
          <w:lang w:eastAsia="zh-CN"/>
        </w:rPr>
        <w:t>赣州市</w:t>
      </w:r>
      <w:r>
        <w:rPr>
          <w:rFonts w:hint="eastAsia" w:ascii="仿宋_GB2312" w:hAnsi="仿宋_GB2312" w:eastAsia="仿宋_GB2312" w:cs="仿宋_GB2312"/>
          <w:color w:val="121212"/>
          <w:spacing w:val="8"/>
          <w:sz w:val="32"/>
          <w:szCs w:val="32"/>
          <w:highlight w:val="none"/>
        </w:rPr>
        <w:t>范</w:t>
      </w:r>
      <w:r>
        <w:rPr>
          <w:rFonts w:hint="eastAsia" w:ascii="仿宋_GB2312" w:hAnsi="仿宋_GB2312" w:eastAsia="仿宋_GB2312" w:cs="仿宋_GB2312"/>
          <w:color w:val="121212"/>
          <w:spacing w:val="7"/>
          <w:sz w:val="32"/>
          <w:szCs w:val="32"/>
          <w:highlight w:val="none"/>
        </w:rPr>
        <w:t>围</w:t>
      </w:r>
      <w:r>
        <w:rPr>
          <w:rFonts w:hint="eastAsia" w:ascii="仿宋_GB2312" w:hAnsi="仿宋_GB2312" w:eastAsia="仿宋_GB2312" w:cs="仿宋_GB2312"/>
          <w:color w:val="121212"/>
          <w:spacing w:val="4"/>
          <w:sz w:val="32"/>
          <w:szCs w:val="32"/>
          <w:highlight w:val="none"/>
        </w:rPr>
        <w:t>内企业或引进落地企业的；</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76" w:firstLineChars="200"/>
        <w:jc w:val="both"/>
        <w:textAlignment w:val="baseline"/>
        <w:rPr>
          <w:rFonts w:hint="eastAsia" w:ascii="仿宋_GB2312" w:hAnsi="仿宋_GB2312" w:eastAsia="仿宋_GB2312" w:cs="仿宋_GB2312"/>
          <w:color w:val="121212"/>
          <w:spacing w:val="8"/>
          <w:sz w:val="32"/>
          <w:szCs w:val="32"/>
          <w:highlight w:val="none"/>
        </w:rPr>
      </w:pPr>
      <w:r>
        <w:rPr>
          <w:rFonts w:hint="eastAsia" w:ascii="仿宋_GB2312" w:hAnsi="仿宋_GB2312" w:eastAsia="仿宋_GB2312" w:cs="仿宋_GB2312"/>
          <w:color w:val="121212"/>
          <w:spacing w:val="9"/>
          <w:sz w:val="32"/>
          <w:szCs w:val="32"/>
          <w:highlight w:val="none"/>
        </w:rPr>
        <w:t>6</w:t>
      </w:r>
      <w:r>
        <w:rPr>
          <w:rFonts w:hint="eastAsia" w:ascii="仿宋_GB2312" w:hAnsi="仿宋_GB2312" w:eastAsia="仿宋_GB2312" w:cs="仿宋_GB2312"/>
          <w:color w:val="121212"/>
          <w:spacing w:val="8"/>
          <w:sz w:val="32"/>
          <w:szCs w:val="32"/>
          <w:highlight w:val="none"/>
        </w:rPr>
        <w:t>.除前述明确列举的返投形式外，经有限合伙人一致认</w:t>
      </w:r>
      <w:r>
        <w:rPr>
          <w:rFonts w:hint="eastAsia" w:ascii="仿宋_GB2312" w:hAnsi="仿宋_GB2312" w:eastAsia="仿宋_GB2312" w:cs="仿宋_GB2312"/>
          <w:color w:val="121212"/>
          <w:spacing w:val="27"/>
          <w:sz w:val="32"/>
          <w:szCs w:val="32"/>
          <w:highlight w:val="none"/>
        </w:rPr>
        <w:t>同</w:t>
      </w:r>
      <w:r>
        <w:rPr>
          <w:rFonts w:hint="eastAsia" w:ascii="仿宋_GB2312" w:hAnsi="仿宋_GB2312" w:eastAsia="仿宋_GB2312" w:cs="仿宋_GB2312"/>
          <w:color w:val="121212"/>
          <w:spacing w:val="21"/>
          <w:sz w:val="32"/>
          <w:szCs w:val="32"/>
          <w:highlight w:val="none"/>
        </w:rPr>
        <w:t>的有助于</w:t>
      </w:r>
      <w:r>
        <w:rPr>
          <w:rFonts w:hint="eastAsia" w:ascii="仿宋_GB2312" w:hAnsi="仿宋_GB2312" w:eastAsia="仿宋_GB2312" w:cs="仿宋_GB2312"/>
          <w:color w:val="121212"/>
          <w:spacing w:val="21"/>
          <w:sz w:val="32"/>
          <w:szCs w:val="32"/>
          <w:highlight w:val="none"/>
          <w:lang w:eastAsia="zh-CN"/>
        </w:rPr>
        <w:t>赣州市</w:t>
      </w:r>
      <w:r>
        <w:rPr>
          <w:rFonts w:hint="eastAsia" w:ascii="仿宋_GB2312" w:hAnsi="仿宋_GB2312" w:eastAsia="仿宋_GB2312" w:cs="仿宋_GB2312"/>
          <w:color w:val="121212"/>
          <w:spacing w:val="21"/>
          <w:sz w:val="32"/>
          <w:szCs w:val="32"/>
          <w:highlight w:val="none"/>
        </w:rPr>
        <w:t>经济发展的各类股权或债权投资等其</w:t>
      </w:r>
      <w:r>
        <w:rPr>
          <w:rFonts w:hint="eastAsia" w:ascii="仿宋_GB2312" w:hAnsi="仿宋_GB2312" w:eastAsia="仿宋_GB2312" w:cs="仿宋_GB2312"/>
          <w:color w:val="121212"/>
          <w:spacing w:val="16"/>
          <w:sz w:val="32"/>
          <w:szCs w:val="32"/>
          <w:highlight w:val="none"/>
        </w:rPr>
        <w:t>他</w:t>
      </w:r>
      <w:r>
        <w:rPr>
          <w:rFonts w:hint="eastAsia" w:ascii="仿宋_GB2312" w:hAnsi="仿宋_GB2312" w:eastAsia="仿宋_GB2312" w:cs="仿宋_GB2312"/>
          <w:color w:val="121212"/>
          <w:spacing w:val="11"/>
          <w:sz w:val="32"/>
          <w:szCs w:val="32"/>
          <w:highlight w:val="none"/>
        </w:rPr>
        <w:t>返</w:t>
      </w:r>
      <w:r>
        <w:rPr>
          <w:rFonts w:hint="eastAsia" w:ascii="仿宋_GB2312" w:hAnsi="仿宋_GB2312" w:eastAsia="仿宋_GB2312" w:cs="仿宋_GB2312"/>
          <w:color w:val="121212"/>
          <w:spacing w:val="8"/>
          <w:sz w:val="32"/>
          <w:szCs w:val="32"/>
          <w:highlight w:val="none"/>
        </w:rPr>
        <w:t>投形式，返投金额计算标准由双方另行协商。</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lang w:val="en-US" w:eastAsia="zh-CN"/>
        </w:rPr>
      </w:pPr>
      <w:r>
        <w:rPr>
          <w:rFonts w:hint="eastAsia" w:ascii="楷体_GB2312" w:hAnsi="楷体_GB2312" w:eastAsia="楷体_GB2312" w:cs="楷体_GB2312"/>
          <w:color w:val="121212"/>
          <w:spacing w:val="24"/>
          <w:sz w:val="32"/>
          <w:szCs w:val="32"/>
          <w:highlight w:val="none"/>
          <w:lang w:val="en-US" w:eastAsia="zh-CN"/>
        </w:rPr>
        <w:t>（七）投资负面清单</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84" w:firstLineChars="200"/>
        <w:jc w:val="both"/>
        <w:textAlignment w:val="baseline"/>
        <w:rPr>
          <w:rFonts w:hint="eastAsia" w:ascii="仿宋_GB2312" w:hAnsi="仿宋_GB2312" w:eastAsia="仿宋_GB2312" w:cs="仿宋_GB2312"/>
          <w:color w:val="121212"/>
          <w:spacing w:val="11"/>
          <w:sz w:val="32"/>
          <w:szCs w:val="32"/>
          <w:highlight w:val="none"/>
          <w:lang w:val="en-US" w:eastAsia="zh-CN"/>
        </w:rPr>
      </w:pPr>
      <w:r>
        <w:rPr>
          <w:rFonts w:hint="eastAsia" w:ascii="仿宋_GB2312" w:hAnsi="仿宋_GB2312" w:eastAsia="仿宋_GB2312" w:cs="仿宋_GB2312"/>
          <w:color w:val="121212"/>
          <w:spacing w:val="11"/>
          <w:sz w:val="32"/>
          <w:szCs w:val="32"/>
          <w:highlight w:val="none"/>
          <w:lang w:val="en-US" w:eastAsia="zh-CN"/>
        </w:rPr>
        <w:t>引导基金及子基金不得从事以下业务：</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84" w:firstLineChars="200"/>
        <w:jc w:val="both"/>
        <w:textAlignment w:val="baseline"/>
        <w:rPr>
          <w:rFonts w:hint="eastAsia" w:ascii="仿宋_GB2312" w:hAnsi="仿宋_GB2312" w:eastAsia="仿宋_GB2312" w:cs="仿宋_GB2312"/>
          <w:color w:val="121212"/>
          <w:spacing w:val="11"/>
          <w:sz w:val="32"/>
          <w:szCs w:val="32"/>
          <w:highlight w:val="none"/>
          <w:lang w:val="en-US" w:eastAsia="zh-CN"/>
        </w:rPr>
      </w:pPr>
      <w:r>
        <w:rPr>
          <w:rFonts w:hint="eastAsia" w:ascii="仿宋_GB2312" w:hAnsi="仿宋_GB2312" w:eastAsia="仿宋_GB2312" w:cs="仿宋_GB2312"/>
          <w:color w:val="121212"/>
          <w:spacing w:val="11"/>
          <w:sz w:val="32"/>
          <w:szCs w:val="32"/>
          <w:highlight w:val="none"/>
          <w:lang w:val="en-US" w:eastAsia="zh-CN"/>
        </w:rPr>
        <w:t xml:space="preserve">1.从事担保、抵押、委托贷款等业务； </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84" w:firstLineChars="200"/>
        <w:jc w:val="both"/>
        <w:textAlignment w:val="baseline"/>
        <w:rPr>
          <w:rFonts w:hint="eastAsia" w:ascii="仿宋_GB2312" w:hAnsi="仿宋_GB2312" w:eastAsia="仿宋_GB2312" w:cs="仿宋_GB2312"/>
          <w:color w:val="121212"/>
          <w:spacing w:val="11"/>
          <w:sz w:val="32"/>
          <w:szCs w:val="32"/>
          <w:highlight w:val="none"/>
          <w:lang w:val="en-US" w:eastAsia="zh-CN"/>
        </w:rPr>
      </w:pPr>
      <w:r>
        <w:rPr>
          <w:rFonts w:hint="eastAsia" w:ascii="仿宋_GB2312" w:hAnsi="仿宋_GB2312" w:eastAsia="仿宋_GB2312" w:cs="仿宋_GB2312"/>
          <w:color w:val="121212"/>
          <w:spacing w:val="11"/>
          <w:sz w:val="32"/>
          <w:szCs w:val="32"/>
          <w:highlight w:val="none"/>
          <w:lang w:val="en-US" w:eastAsia="zh-CN"/>
        </w:rPr>
        <w:t>2.投资二级市场股票、期货、房地产、证券投资基金、企业债、信托产品、理财产品、保险计划及其他金融衍生品；</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84" w:firstLineChars="200"/>
        <w:jc w:val="both"/>
        <w:textAlignment w:val="baseline"/>
        <w:rPr>
          <w:rFonts w:hint="eastAsia" w:ascii="仿宋_GB2312" w:hAnsi="仿宋_GB2312" w:eastAsia="仿宋_GB2312" w:cs="仿宋_GB2312"/>
          <w:color w:val="121212"/>
          <w:spacing w:val="11"/>
          <w:sz w:val="32"/>
          <w:szCs w:val="32"/>
          <w:highlight w:val="none"/>
          <w:lang w:val="en-US" w:eastAsia="zh-CN"/>
        </w:rPr>
      </w:pPr>
      <w:r>
        <w:rPr>
          <w:rFonts w:hint="eastAsia" w:ascii="仿宋_GB2312" w:hAnsi="仿宋_GB2312" w:eastAsia="仿宋_GB2312" w:cs="仿宋_GB2312"/>
          <w:color w:val="121212"/>
          <w:spacing w:val="11"/>
          <w:sz w:val="32"/>
          <w:szCs w:val="32"/>
          <w:highlight w:val="none"/>
          <w:lang w:val="en-US" w:eastAsia="zh-CN"/>
        </w:rPr>
        <w:t xml:space="preserve">3.向任何第三方提供赞助、捐赠（经批准的公益性捐赠除外）； </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84" w:firstLineChars="200"/>
        <w:jc w:val="both"/>
        <w:textAlignment w:val="baseline"/>
        <w:rPr>
          <w:rFonts w:hint="eastAsia" w:ascii="仿宋_GB2312" w:hAnsi="仿宋_GB2312" w:eastAsia="仿宋_GB2312" w:cs="仿宋_GB2312"/>
          <w:color w:val="121212"/>
          <w:spacing w:val="11"/>
          <w:sz w:val="32"/>
          <w:szCs w:val="32"/>
          <w:highlight w:val="none"/>
          <w:lang w:val="en-US" w:eastAsia="zh-CN"/>
        </w:rPr>
      </w:pPr>
      <w:r>
        <w:rPr>
          <w:rFonts w:hint="eastAsia" w:ascii="仿宋_GB2312" w:hAnsi="仿宋_GB2312" w:eastAsia="仿宋_GB2312" w:cs="仿宋_GB2312"/>
          <w:color w:val="121212"/>
          <w:spacing w:val="11"/>
          <w:sz w:val="32"/>
          <w:szCs w:val="32"/>
          <w:highlight w:val="none"/>
          <w:lang w:val="en-US" w:eastAsia="zh-CN"/>
        </w:rPr>
        <w:t xml:space="preserve">4.吸收或变相吸收存款，或向第三方提供贷款和资金拆借（以股权投资为目的的可转债除外，但不得从事明股实债）； </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84" w:firstLineChars="200"/>
        <w:jc w:val="both"/>
        <w:textAlignment w:val="baseline"/>
        <w:rPr>
          <w:rFonts w:hint="eastAsia" w:ascii="仿宋_GB2312" w:hAnsi="仿宋_GB2312" w:eastAsia="仿宋_GB2312" w:cs="仿宋_GB2312"/>
          <w:color w:val="121212"/>
          <w:spacing w:val="11"/>
          <w:sz w:val="32"/>
          <w:szCs w:val="32"/>
          <w:highlight w:val="none"/>
          <w:lang w:val="en-US" w:eastAsia="zh-CN"/>
        </w:rPr>
      </w:pPr>
      <w:r>
        <w:rPr>
          <w:rFonts w:hint="eastAsia" w:ascii="仿宋_GB2312" w:hAnsi="仿宋_GB2312" w:eastAsia="仿宋_GB2312" w:cs="仿宋_GB2312"/>
          <w:color w:val="121212"/>
          <w:spacing w:val="11"/>
          <w:sz w:val="32"/>
          <w:szCs w:val="32"/>
          <w:highlight w:val="none"/>
          <w:lang w:val="en-US" w:eastAsia="zh-CN"/>
        </w:rPr>
        <w:t xml:space="preserve">5.进行承担无限连带责任的对外投资； </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84" w:firstLineChars="200"/>
        <w:jc w:val="both"/>
        <w:textAlignment w:val="baseline"/>
        <w:rPr>
          <w:rFonts w:hint="eastAsia" w:ascii="仿宋_GB2312" w:hAnsi="仿宋_GB2312" w:eastAsia="仿宋_GB2312" w:cs="仿宋_GB2312"/>
          <w:color w:val="121212"/>
          <w:spacing w:val="11"/>
          <w:sz w:val="32"/>
          <w:szCs w:val="32"/>
          <w:highlight w:val="none"/>
          <w:lang w:val="en-US" w:eastAsia="zh-CN"/>
        </w:rPr>
      </w:pPr>
      <w:r>
        <w:rPr>
          <w:rFonts w:hint="eastAsia" w:ascii="仿宋_GB2312" w:hAnsi="仿宋_GB2312" w:eastAsia="仿宋_GB2312" w:cs="仿宋_GB2312"/>
          <w:color w:val="121212"/>
          <w:spacing w:val="11"/>
          <w:sz w:val="32"/>
          <w:szCs w:val="32"/>
          <w:highlight w:val="none"/>
          <w:lang w:val="en-US" w:eastAsia="zh-CN"/>
        </w:rPr>
        <w:t>6.不符合国家产业政策、环保政策的项目；</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84" w:firstLineChars="200"/>
        <w:jc w:val="both"/>
        <w:textAlignment w:val="baseline"/>
        <w:rPr>
          <w:rFonts w:hint="eastAsia" w:ascii="仿宋_GB2312" w:hAnsi="仿宋_GB2312" w:eastAsia="仿宋_GB2312" w:cs="仿宋_GB2312"/>
          <w:color w:val="121212"/>
          <w:spacing w:val="11"/>
          <w:sz w:val="32"/>
          <w:szCs w:val="32"/>
          <w:highlight w:val="none"/>
          <w:lang w:val="en-US" w:eastAsia="zh-CN"/>
        </w:rPr>
      </w:pPr>
      <w:r>
        <w:rPr>
          <w:rFonts w:hint="eastAsia" w:ascii="仿宋_GB2312" w:hAnsi="仿宋_GB2312" w:eastAsia="仿宋_GB2312" w:cs="仿宋_GB2312"/>
          <w:color w:val="121212"/>
          <w:spacing w:val="11"/>
          <w:sz w:val="32"/>
          <w:szCs w:val="32"/>
          <w:highlight w:val="none"/>
          <w:lang w:val="en-US" w:eastAsia="zh-CN"/>
        </w:rPr>
        <w:t>7.其他国家法律法规禁止从事的业务。</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lang w:val="en-US" w:eastAsia="zh-CN"/>
        </w:rPr>
      </w:pPr>
      <w:r>
        <w:rPr>
          <w:rFonts w:hint="eastAsia" w:ascii="楷体_GB2312" w:hAnsi="楷体_GB2312" w:eastAsia="楷体_GB2312" w:cs="楷体_GB2312"/>
          <w:color w:val="121212"/>
          <w:spacing w:val="24"/>
          <w:sz w:val="32"/>
          <w:szCs w:val="32"/>
          <w:highlight w:val="none"/>
          <w:lang w:val="en-US" w:eastAsia="zh-CN"/>
        </w:rPr>
        <w:t>（八）管理费</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64" w:firstLineChars="200"/>
        <w:jc w:val="both"/>
        <w:textAlignment w:val="baseline"/>
        <w:rPr>
          <w:rFonts w:hint="eastAsia" w:ascii="仿宋_GB2312" w:hAnsi="仿宋_GB2312" w:eastAsia="仿宋_GB2312" w:cs="仿宋_GB2312"/>
          <w:color w:val="121212"/>
          <w:spacing w:val="6"/>
          <w:sz w:val="32"/>
          <w:szCs w:val="32"/>
          <w:highlight w:val="none"/>
          <w:lang w:val="en-US" w:eastAsia="zh-CN"/>
        </w:rPr>
      </w:pPr>
      <w:r>
        <w:rPr>
          <w:rFonts w:hint="eastAsia" w:ascii="仿宋_GB2312" w:hAnsi="仿宋_GB2312" w:eastAsia="仿宋_GB2312" w:cs="仿宋_GB2312"/>
          <w:color w:val="121212"/>
          <w:spacing w:val="6"/>
          <w:sz w:val="32"/>
          <w:szCs w:val="32"/>
          <w:highlight w:val="none"/>
          <w:lang w:val="en-US" w:eastAsia="zh-CN"/>
        </w:rPr>
        <w:t>子基金存续期内管理费原则上不超过实缴金额的1.5%/年，参与国家级基金或知名基金管理机构担任管理人的投资基金管理费最高不超过实缴金额的2%/年，并按照绩效考核办法接受赣发基金公司的绩效考核。近2年在清科研究中心发布的“中国股权投资年度排名”或投中网发布的“投中榜年度榜单”排名前20的机构，统称为知名基金管理机构。</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w:t>
      </w:r>
      <w:r>
        <w:rPr>
          <w:rFonts w:hint="eastAsia" w:ascii="楷体_GB2312" w:hAnsi="楷体_GB2312" w:eastAsia="楷体_GB2312" w:cs="楷体_GB2312"/>
          <w:color w:val="121212"/>
          <w:spacing w:val="24"/>
          <w:sz w:val="32"/>
          <w:szCs w:val="32"/>
          <w:highlight w:val="none"/>
          <w:lang w:val="en-US" w:eastAsia="zh-CN"/>
        </w:rPr>
        <w:t>九</w:t>
      </w:r>
      <w:r>
        <w:rPr>
          <w:rFonts w:hint="eastAsia" w:ascii="楷体_GB2312" w:hAnsi="楷体_GB2312" w:eastAsia="楷体_GB2312" w:cs="楷体_GB2312"/>
          <w:color w:val="121212"/>
          <w:spacing w:val="24"/>
          <w:sz w:val="32"/>
          <w:szCs w:val="32"/>
          <w:highlight w:val="none"/>
        </w:rPr>
        <w:t>)资金托管</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right="0" w:firstLine="680" w:firstLineChars="200"/>
        <w:jc w:val="both"/>
        <w:textAlignment w:val="baseline"/>
        <w:rPr>
          <w:rFonts w:hint="eastAsia" w:ascii="仿宋_GB2312" w:hAnsi="仿宋_GB2312" w:eastAsia="仿宋_GB2312" w:cs="仿宋_GB2312"/>
          <w:color w:val="121212"/>
          <w:spacing w:val="10"/>
          <w:sz w:val="32"/>
          <w:szCs w:val="32"/>
          <w:highlight w:val="none"/>
        </w:rPr>
      </w:pPr>
      <w:r>
        <w:rPr>
          <w:rFonts w:hint="eastAsia" w:ascii="仿宋_GB2312" w:hAnsi="仿宋_GB2312" w:eastAsia="仿宋_GB2312" w:cs="仿宋_GB2312"/>
          <w:color w:val="121212"/>
          <w:spacing w:val="10"/>
          <w:sz w:val="32"/>
          <w:szCs w:val="32"/>
          <w:highlight w:val="none"/>
        </w:rPr>
        <w:t>子基金应当委托具备私募基金托管资质的商业银行进行托管，并签订资金托管协议。托管银行负责资金保管、拨付、结算等日常工作，对子基金的投资活动依法依规实施动态监管，并定期向子基金管理人提交托管报告。子基金管理人应将子基金的托管报告一并提交给引导基金管理人。</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right="0" w:firstLine="680" w:firstLineChars="200"/>
        <w:jc w:val="both"/>
        <w:textAlignment w:val="baseline"/>
        <w:rPr>
          <w:rFonts w:hint="eastAsia" w:ascii="仿宋_GB2312" w:hAnsi="仿宋_GB2312" w:eastAsia="仿宋_GB2312" w:cs="仿宋_GB2312"/>
          <w:color w:val="121212"/>
          <w:spacing w:val="7"/>
          <w:position w:val="23"/>
          <w:sz w:val="32"/>
          <w:szCs w:val="32"/>
          <w:highlight w:val="none"/>
          <w:lang w:val="en-US" w:eastAsia="zh-CN"/>
        </w:rPr>
      </w:pPr>
      <w:r>
        <w:rPr>
          <w:rFonts w:hint="eastAsia" w:ascii="仿宋_GB2312" w:hAnsi="仿宋_GB2312" w:eastAsia="仿宋_GB2312" w:cs="仿宋_GB2312"/>
          <w:color w:val="121212"/>
          <w:spacing w:val="10"/>
          <w:sz w:val="32"/>
          <w:szCs w:val="32"/>
          <w:highlight w:val="none"/>
        </w:rPr>
        <w:t>托</w:t>
      </w:r>
      <w:r>
        <w:rPr>
          <w:rFonts w:hint="eastAsia" w:ascii="仿宋_GB2312" w:hAnsi="仿宋_GB2312" w:eastAsia="仿宋_GB2312" w:cs="仿宋_GB2312"/>
          <w:color w:val="121212"/>
          <w:spacing w:val="7"/>
          <w:sz w:val="32"/>
          <w:szCs w:val="32"/>
          <w:highlight w:val="none"/>
        </w:rPr>
        <w:t>管机构需符合以下要求：</w:t>
      </w:r>
      <w:r>
        <w:rPr>
          <w:rFonts w:hint="eastAsia" w:ascii="仿宋_GB2312" w:hAnsi="仿宋_GB2312" w:eastAsia="仿宋_GB2312" w:cs="仿宋_GB2312"/>
          <w:color w:val="121212"/>
          <w:spacing w:val="8"/>
          <w:sz w:val="32"/>
          <w:szCs w:val="32"/>
          <w:highlight w:val="none"/>
        </w:rPr>
        <w:t>1</w:t>
      </w:r>
      <w:r>
        <w:rPr>
          <w:rFonts w:hint="eastAsia" w:ascii="仿宋_GB2312" w:hAnsi="仿宋_GB2312" w:eastAsia="仿宋_GB2312" w:cs="仿宋_GB2312"/>
          <w:color w:val="121212"/>
          <w:spacing w:val="4"/>
          <w:sz w:val="32"/>
          <w:szCs w:val="32"/>
          <w:highlight w:val="none"/>
        </w:rPr>
        <w:t>.具有中国证券监督管理委员会、中国银行保险监督管</w:t>
      </w:r>
      <w:r>
        <w:rPr>
          <w:rFonts w:hint="eastAsia" w:ascii="仿宋_GB2312" w:hAnsi="仿宋_GB2312" w:eastAsia="仿宋_GB2312" w:cs="仿宋_GB2312"/>
          <w:color w:val="121212"/>
          <w:spacing w:val="14"/>
          <w:sz w:val="32"/>
          <w:szCs w:val="32"/>
          <w:highlight w:val="none"/>
        </w:rPr>
        <w:t>理</w:t>
      </w:r>
      <w:r>
        <w:rPr>
          <w:rFonts w:hint="eastAsia" w:ascii="仿宋_GB2312" w:hAnsi="仿宋_GB2312" w:eastAsia="仿宋_GB2312" w:cs="仿宋_GB2312"/>
          <w:color w:val="121212"/>
          <w:spacing w:val="9"/>
          <w:sz w:val="32"/>
          <w:szCs w:val="32"/>
          <w:highlight w:val="none"/>
        </w:rPr>
        <w:t>委</w:t>
      </w:r>
      <w:r>
        <w:rPr>
          <w:rFonts w:hint="eastAsia" w:ascii="仿宋_GB2312" w:hAnsi="仿宋_GB2312" w:eastAsia="仿宋_GB2312" w:cs="仿宋_GB2312"/>
          <w:color w:val="121212"/>
          <w:spacing w:val="7"/>
          <w:sz w:val="32"/>
          <w:szCs w:val="32"/>
          <w:highlight w:val="none"/>
        </w:rPr>
        <w:t>员会核准的基金托管资格</w:t>
      </w:r>
      <w:r>
        <w:rPr>
          <w:rFonts w:hint="eastAsia" w:ascii="仿宋_GB2312" w:hAnsi="仿宋_GB2312" w:eastAsia="仿宋_GB2312" w:cs="仿宋_GB2312"/>
          <w:color w:val="121212"/>
          <w:spacing w:val="7"/>
          <w:sz w:val="32"/>
          <w:szCs w:val="32"/>
          <w:highlight w:val="none"/>
          <w:lang w:eastAsia="zh-CN"/>
        </w:rPr>
        <w:t>；</w:t>
      </w:r>
      <w:r>
        <w:rPr>
          <w:rFonts w:hint="eastAsia" w:ascii="仿宋_GB2312" w:hAnsi="仿宋_GB2312" w:eastAsia="仿宋_GB2312" w:cs="仿宋_GB2312"/>
          <w:color w:val="121212"/>
          <w:spacing w:val="7"/>
          <w:sz w:val="32"/>
          <w:szCs w:val="32"/>
          <w:highlight w:val="none"/>
          <w:lang w:val="en-US" w:eastAsia="zh-CN"/>
        </w:rPr>
        <w:t>2.</w:t>
      </w:r>
      <w:r>
        <w:rPr>
          <w:rFonts w:hint="eastAsia" w:ascii="仿宋_GB2312" w:hAnsi="仿宋_GB2312" w:eastAsia="仿宋_GB2312" w:cs="仿宋_GB2312"/>
          <w:color w:val="121212"/>
          <w:spacing w:val="7"/>
          <w:sz w:val="32"/>
          <w:szCs w:val="32"/>
          <w:highlight w:val="none"/>
          <w:lang w:eastAsia="zh-CN"/>
        </w:rPr>
        <w:t>具有基金托管经验；3.近3年无重大违法违规记录。</w:t>
      </w:r>
    </w:p>
    <w:p>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0" w:beforeLines="50" w:line="560" w:lineRule="exact"/>
        <w:ind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w:t>
      </w:r>
      <w:r>
        <w:rPr>
          <w:rFonts w:hint="eastAsia" w:ascii="楷体_GB2312" w:hAnsi="楷体_GB2312" w:eastAsia="楷体_GB2312" w:cs="楷体_GB2312"/>
          <w:color w:val="121212"/>
          <w:spacing w:val="24"/>
          <w:sz w:val="32"/>
          <w:szCs w:val="32"/>
          <w:highlight w:val="none"/>
          <w:lang w:val="en-US" w:eastAsia="zh-CN"/>
        </w:rPr>
        <w:t>十</w:t>
      </w:r>
      <w:r>
        <w:rPr>
          <w:rFonts w:hint="eastAsia" w:ascii="楷体_GB2312" w:hAnsi="楷体_GB2312" w:eastAsia="楷体_GB2312" w:cs="楷体_GB2312"/>
          <w:color w:val="121212"/>
          <w:spacing w:val="24"/>
          <w:sz w:val="32"/>
          <w:szCs w:val="32"/>
          <w:highlight w:val="none"/>
        </w:rPr>
        <w:t>)投资专注度</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792"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38"/>
          <w:sz w:val="32"/>
          <w:szCs w:val="32"/>
          <w:highlight w:val="none"/>
        </w:rPr>
        <w:t>子</w:t>
      </w:r>
      <w:r>
        <w:rPr>
          <w:rFonts w:hint="eastAsia" w:ascii="仿宋_GB2312" w:hAnsi="仿宋_GB2312" w:eastAsia="仿宋_GB2312" w:cs="仿宋_GB2312"/>
          <w:color w:val="121212"/>
          <w:spacing w:val="21"/>
          <w:sz w:val="32"/>
          <w:szCs w:val="32"/>
          <w:highlight w:val="none"/>
        </w:rPr>
        <w:t>基金合伙协议应当对投资决策委员会和专职管理团</w:t>
      </w:r>
      <w:r>
        <w:rPr>
          <w:rFonts w:hint="eastAsia" w:ascii="仿宋_GB2312" w:hAnsi="仿宋_GB2312" w:eastAsia="仿宋_GB2312" w:cs="仿宋_GB2312"/>
          <w:color w:val="121212"/>
          <w:spacing w:val="16"/>
          <w:sz w:val="32"/>
          <w:szCs w:val="32"/>
          <w:highlight w:val="none"/>
        </w:rPr>
        <w:t>队</w:t>
      </w:r>
      <w:r>
        <w:rPr>
          <w:rFonts w:hint="eastAsia" w:ascii="仿宋_GB2312" w:hAnsi="仿宋_GB2312" w:eastAsia="仿宋_GB2312" w:cs="仿宋_GB2312"/>
          <w:color w:val="121212"/>
          <w:spacing w:val="13"/>
          <w:sz w:val="32"/>
          <w:szCs w:val="32"/>
          <w:highlight w:val="none"/>
        </w:rPr>
        <w:t>的</w:t>
      </w:r>
      <w:r>
        <w:rPr>
          <w:rFonts w:hint="eastAsia" w:ascii="仿宋_GB2312" w:hAnsi="仿宋_GB2312" w:eastAsia="仿宋_GB2312" w:cs="仿宋_GB2312"/>
          <w:color w:val="121212"/>
          <w:spacing w:val="8"/>
          <w:sz w:val="32"/>
          <w:szCs w:val="32"/>
          <w:highlight w:val="none"/>
        </w:rPr>
        <w:t>核心人员进行锁定，锁定人员如发生变动或触发关键人</w:t>
      </w:r>
      <w:r>
        <w:rPr>
          <w:rFonts w:hint="eastAsia" w:ascii="仿宋_GB2312" w:hAnsi="仿宋_GB2312" w:eastAsia="仿宋_GB2312" w:cs="仿宋_GB2312"/>
          <w:color w:val="121212"/>
          <w:spacing w:val="16"/>
          <w:sz w:val="32"/>
          <w:szCs w:val="32"/>
          <w:highlight w:val="none"/>
        </w:rPr>
        <w:t>条</w:t>
      </w:r>
      <w:r>
        <w:rPr>
          <w:rFonts w:hint="eastAsia" w:ascii="仿宋_GB2312" w:hAnsi="仿宋_GB2312" w:eastAsia="仿宋_GB2312" w:cs="仿宋_GB2312"/>
          <w:color w:val="121212"/>
          <w:spacing w:val="10"/>
          <w:sz w:val="32"/>
          <w:szCs w:val="32"/>
          <w:highlight w:val="none"/>
        </w:rPr>
        <w:t>款</w:t>
      </w:r>
      <w:r>
        <w:rPr>
          <w:rFonts w:hint="eastAsia" w:ascii="仿宋_GB2312" w:hAnsi="仿宋_GB2312" w:eastAsia="仿宋_GB2312" w:cs="仿宋_GB2312"/>
          <w:color w:val="121212"/>
          <w:spacing w:val="8"/>
          <w:sz w:val="32"/>
          <w:szCs w:val="32"/>
          <w:highlight w:val="none"/>
        </w:rPr>
        <w:t>，须经合伙人大会等基金相关权利机构表决通过，并报</w:t>
      </w:r>
      <w:r>
        <w:rPr>
          <w:rFonts w:hint="eastAsia" w:ascii="仿宋_GB2312" w:hAnsi="仿宋_GB2312" w:eastAsia="仿宋_GB2312" w:cs="仿宋_GB2312"/>
          <w:color w:val="121212"/>
          <w:spacing w:val="10"/>
          <w:sz w:val="32"/>
          <w:szCs w:val="32"/>
          <w:highlight w:val="none"/>
        </w:rPr>
        <w:t>引</w:t>
      </w:r>
      <w:r>
        <w:rPr>
          <w:rFonts w:hint="eastAsia" w:ascii="仿宋_GB2312" w:hAnsi="仿宋_GB2312" w:eastAsia="仿宋_GB2312" w:cs="仿宋_GB2312"/>
          <w:color w:val="121212"/>
          <w:spacing w:val="6"/>
          <w:sz w:val="32"/>
          <w:szCs w:val="32"/>
          <w:highlight w:val="none"/>
        </w:rPr>
        <w:t>导基金管理人备案。</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w:t>
      </w:r>
      <w:r>
        <w:rPr>
          <w:rFonts w:hint="eastAsia" w:ascii="楷体_GB2312" w:hAnsi="楷体_GB2312" w:eastAsia="楷体_GB2312" w:cs="楷体_GB2312"/>
          <w:color w:val="121212"/>
          <w:spacing w:val="24"/>
          <w:sz w:val="32"/>
          <w:szCs w:val="32"/>
          <w:highlight w:val="none"/>
          <w:lang w:val="en-US" w:eastAsia="zh-CN"/>
        </w:rPr>
        <w:t>十一</w:t>
      </w:r>
      <w:r>
        <w:rPr>
          <w:rFonts w:hint="eastAsia" w:ascii="楷体_GB2312" w:hAnsi="楷体_GB2312" w:eastAsia="楷体_GB2312" w:cs="楷体_GB2312"/>
          <w:color w:val="121212"/>
          <w:spacing w:val="24"/>
          <w:sz w:val="32"/>
          <w:szCs w:val="32"/>
          <w:highlight w:val="none"/>
        </w:rPr>
        <w:t>)信息披露</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72"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8"/>
          <w:sz w:val="32"/>
          <w:szCs w:val="32"/>
          <w:highlight w:val="none"/>
        </w:rPr>
        <w:t>子基金管理人应当定期向引导基金提交季度、年度运</w:t>
      </w:r>
      <w:r>
        <w:rPr>
          <w:rFonts w:hint="eastAsia" w:ascii="仿宋_GB2312" w:hAnsi="仿宋_GB2312" w:eastAsia="仿宋_GB2312" w:cs="仿宋_GB2312"/>
          <w:color w:val="121212"/>
          <w:spacing w:val="4"/>
          <w:sz w:val="32"/>
          <w:szCs w:val="32"/>
          <w:highlight w:val="none"/>
        </w:rPr>
        <w:t>营</w:t>
      </w:r>
      <w:r>
        <w:rPr>
          <w:rFonts w:hint="eastAsia" w:ascii="仿宋_GB2312" w:hAnsi="仿宋_GB2312" w:eastAsia="仿宋_GB2312" w:cs="仿宋_GB2312"/>
          <w:color w:val="121212"/>
          <w:spacing w:val="16"/>
          <w:sz w:val="32"/>
          <w:szCs w:val="32"/>
          <w:highlight w:val="none"/>
        </w:rPr>
        <w:t>报告</w:t>
      </w:r>
      <w:r>
        <w:rPr>
          <w:rFonts w:hint="eastAsia" w:ascii="仿宋_GB2312" w:hAnsi="仿宋_GB2312" w:eastAsia="仿宋_GB2312" w:cs="仿宋_GB2312"/>
          <w:color w:val="121212"/>
          <w:spacing w:val="9"/>
          <w:sz w:val="32"/>
          <w:szCs w:val="32"/>
          <w:highlight w:val="none"/>
        </w:rPr>
        <w:t>、</w:t>
      </w:r>
      <w:r>
        <w:rPr>
          <w:rFonts w:hint="eastAsia" w:ascii="仿宋_GB2312" w:hAnsi="仿宋_GB2312" w:eastAsia="仿宋_GB2312" w:cs="仿宋_GB2312"/>
          <w:color w:val="121212"/>
          <w:spacing w:val="8"/>
          <w:sz w:val="32"/>
          <w:szCs w:val="32"/>
          <w:highlight w:val="none"/>
        </w:rPr>
        <w:t>年度审计报告和年度托管报告；应当建立重大事项披</w:t>
      </w:r>
      <w:r>
        <w:rPr>
          <w:rFonts w:hint="eastAsia" w:ascii="仿宋_GB2312" w:hAnsi="仿宋_GB2312" w:eastAsia="仿宋_GB2312" w:cs="仿宋_GB2312"/>
          <w:color w:val="121212"/>
          <w:spacing w:val="16"/>
          <w:sz w:val="32"/>
          <w:szCs w:val="32"/>
          <w:highlight w:val="none"/>
        </w:rPr>
        <w:t>露</w:t>
      </w:r>
      <w:r>
        <w:rPr>
          <w:rFonts w:hint="eastAsia" w:ascii="仿宋_GB2312" w:hAnsi="仿宋_GB2312" w:eastAsia="仿宋_GB2312" w:cs="仿宋_GB2312"/>
          <w:color w:val="121212"/>
          <w:spacing w:val="14"/>
          <w:sz w:val="32"/>
          <w:szCs w:val="32"/>
          <w:highlight w:val="none"/>
        </w:rPr>
        <w:t>制</w:t>
      </w:r>
      <w:r>
        <w:rPr>
          <w:rFonts w:hint="eastAsia" w:ascii="仿宋_GB2312" w:hAnsi="仿宋_GB2312" w:eastAsia="仿宋_GB2312" w:cs="仿宋_GB2312"/>
          <w:color w:val="121212"/>
          <w:spacing w:val="8"/>
          <w:sz w:val="32"/>
          <w:szCs w:val="32"/>
          <w:highlight w:val="none"/>
        </w:rPr>
        <w:t>度，重大事项包括但不限于：基金合伙协议修订、资本</w:t>
      </w:r>
      <w:r>
        <w:rPr>
          <w:rFonts w:hint="eastAsia" w:ascii="仿宋_GB2312" w:hAnsi="仿宋_GB2312" w:eastAsia="仿宋_GB2312" w:cs="仿宋_GB2312"/>
          <w:color w:val="121212"/>
          <w:spacing w:val="16"/>
          <w:sz w:val="32"/>
          <w:szCs w:val="32"/>
          <w:highlight w:val="none"/>
        </w:rPr>
        <w:t>增</w:t>
      </w:r>
      <w:r>
        <w:rPr>
          <w:rFonts w:hint="eastAsia" w:ascii="仿宋_GB2312" w:hAnsi="仿宋_GB2312" w:eastAsia="仿宋_GB2312" w:cs="仿宋_GB2312"/>
          <w:color w:val="121212"/>
          <w:spacing w:val="14"/>
          <w:sz w:val="32"/>
          <w:szCs w:val="32"/>
          <w:highlight w:val="none"/>
        </w:rPr>
        <w:t>减</w:t>
      </w:r>
      <w:r>
        <w:rPr>
          <w:rFonts w:hint="eastAsia" w:ascii="仿宋_GB2312" w:hAnsi="仿宋_GB2312" w:eastAsia="仿宋_GB2312" w:cs="仿宋_GB2312"/>
          <w:color w:val="121212"/>
          <w:spacing w:val="8"/>
          <w:sz w:val="32"/>
          <w:szCs w:val="32"/>
          <w:highlight w:val="none"/>
        </w:rPr>
        <w:t>、高级管理人员变更、合并、清算及《私募投资基金信</w:t>
      </w:r>
      <w:r>
        <w:rPr>
          <w:rFonts w:hint="eastAsia" w:ascii="仿宋_GB2312" w:hAnsi="仿宋_GB2312" w:eastAsia="仿宋_GB2312" w:cs="仿宋_GB2312"/>
          <w:color w:val="121212"/>
          <w:spacing w:val="10"/>
          <w:sz w:val="32"/>
          <w:szCs w:val="32"/>
          <w:highlight w:val="none"/>
        </w:rPr>
        <w:t>息</w:t>
      </w:r>
      <w:r>
        <w:rPr>
          <w:rFonts w:hint="eastAsia" w:ascii="仿宋_GB2312" w:hAnsi="仿宋_GB2312" w:eastAsia="仿宋_GB2312" w:cs="仿宋_GB2312"/>
          <w:color w:val="121212"/>
          <w:spacing w:val="8"/>
          <w:sz w:val="32"/>
          <w:szCs w:val="32"/>
          <w:highlight w:val="none"/>
        </w:rPr>
        <w:t>披露管理办法》规定应披露的事项等。</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(十</w:t>
      </w:r>
      <w:r>
        <w:rPr>
          <w:rFonts w:hint="eastAsia" w:ascii="楷体_GB2312" w:hAnsi="楷体_GB2312" w:eastAsia="楷体_GB2312" w:cs="楷体_GB2312"/>
          <w:color w:val="121212"/>
          <w:spacing w:val="24"/>
          <w:sz w:val="32"/>
          <w:szCs w:val="32"/>
          <w:highlight w:val="none"/>
          <w:lang w:val="en-US" w:eastAsia="zh-CN"/>
        </w:rPr>
        <w:t>二</w:t>
      </w:r>
      <w:r>
        <w:rPr>
          <w:rFonts w:hint="eastAsia" w:ascii="楷体_GB2312" w:hAnsi="楷体_GB2312" w:eastAsia="楷体_GB2312" w:cs="楷体_GB2312"/>
          <w:color w:val="121212"/>
          <w:spacing w:val="24"/>
          <w:sz w:val="32"/>
          <w:szCs w:val="32"/>
          <w:highlight w:val="none"/>
        </w:rPr>
        <w:t>)提前退出</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704"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16"/>
          <w:sz w:val="32"/>
          <w:szCs w:val="32"/>
          <w:highlight w:val="none"/>
        </w:rPr>
        <w:t>有下列情形之一的，引导基金有权要求从子基金退伙或向第三方转让其持有的子基金权益份额，如子基金管理人或其他合伙人拒绝配合，导致引导基金无法从子基金退伙或向第三方转让其持有的子基金权益份额的，则引导基金有权要求子基金终止并提前清算；此外，引导基金还有权要求子基金管理人返还引导基金已承担的管理费</w:t>
      </w:r>
      <w:r>
        <w:rPr>
          <w:rFonts w:hint="eastAsia" w:ascii="仿宋_GB2312" w:hAnsi="仿宋_GB2312" w:eastAsia="仿宋_GB2312" w:cs="仿宋_GB2312"/>
          <w:color w:val="121212"/>
          <w:spacing w:val="5"/>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76"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9"/>
          <w:sz w:val="32"/>
          <w:szCs w:val="32"/>
          <w:highlight w:val="none"/>
        </w:rPr>
        <w:t>1</w:t>
      </w:r>
      <w:r>
        <w:rPr>
          <w:rFonts w:hint="eastAsia" w:ascii="仿宋_GB2312" w:hAnsi="仿宋_GB2312" w:eastAsia="仿宋_GB2312" w:cs="仿宋_GB2312"/>
          <w:color w:val="121212"/>
          <w:spacing w:val="7"/>
          <w:sz w:val="32"/>
          <w:szCs w:val="32"/>
          <w:highlight w:val="none"/>
        </w:rPr>
        <w:t>.未按合伙协议约定投资且未能有效整改的；</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6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5"/>
          <w:sz w:val="32"/>
          <w:szCs w:val="32"/>
          <w:highlight w:val="none"/>
        </w:rPr>
        <w:t>2.引导基金与子基金管理人签订协议后，</w:t>
      </w:r>
      <w:r>
        <w:rPr>
          <w:rFonts w:hint="eastAsia" w:ascii="仿宋_GB2312" w:hAnsi="仿宋_GB2312" w:eastAsia="仿宋_GB2312" w:cs="仿宋_GB2312"/>
          <w:color w:val="121212"/>
          <w:spacing w:val="5"/>
          <w:sz w:val="32"/>
          <w:szCs w:val="32"/>
          <w:highlight w:val="none"/>
          <w:lang w:val="en-US" w:eastAsia="zh-CN"/>
        </w:rPr>
        <w:t>其他出资人首期资金未实际到位超过6个月或</w:t>
      </w:r>
      <w:r>
        <w:rPr>
          <w:rFonts w:hint="eastAsia" w:ascii="仿宋_GB2312" w:hAnsi="仿宋_GB2312" w:eastAsia="仿宋_GB2312" w:cs="仿宋_GB2312"/>
          <w:color w:val="121212"/>
          <w:spacing w:val="5"/>
          <w:sz w:val="32"/>
          <w:szCs w:val="32"/>
          <w:highlight w:val="none"/>
        </w:rPr>
        <w:t>子基金在6</w:t>
      </w:r>
      <w:r>
        <w:rPr>
          <w:rFonts w:hint="eastAsia" w:ascii="仿宋_GB2312" w:hAnsi="仿宋_GB2312" w:eastAsia="仿宋_GB2312" w:cs="仿宋_GB2312"/>
          <w:color w:val="121212"/>
          <w:spacing w:val="3"/>
          <w:sz w:val="32"/>
          <w:szCs w:val="32"/>
          <w:highlight w:val="none"/>
        </w:rPr>
        <w:t>个</w:t>
      </w:r>
      <w:r>
        <w:rPr>
          <w:rFonts w:hint="eastAsia" w:ascii="仿宋_GB2312" w:hAnsi="仿宋_GB2312" w:eastAsia="仿宋_GB2312" w:cs="仿宋_GB2312"/>
          <w:color w:val="121212"/>
          <w:spacing w:val="11"/>
          <w:sz w:val="32"/>
          <w:szCs w:val="32"/>
          <w:highlight w:val="none"/>
        </w:rPr>
        <w:t>月</w:t>
      </w:r>
      <w:r>
        <w:rPr>
          <w:rFonts w:hint="eastAsia" w:ascii="仿宋_GB2312" w:hAnsi="仿宋_GB2312" w:eastAsia="仿宋_GB2312" w:cs="仿宋_GB2312"/>
          <w:color w:val="121212"/>
          <w:spacing w:val="8"/>
          <w:sz w:val="32"/>
          <w:szCs w:val="32"/>
          <w:highlight w:val="none"/>
        </w:rPr>
        <w:t>内未在中国证券投资基金业协会完成基金产品备案的；</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64" w:firstLineChars="200"/>
        <w:textAlignment w:val="baseline"/>
        <w:rPr>
          <w:rFonts w:hint="eastAsia" w:ascii="仿宋_GB2312" w:hAnsi="仿宋_GB2312" w:eastAsia="仿宋_GB2312" w:cs="仿宋_GB2312"/>
          <w:color w:val="121212"/>
          <w:spacing w:val="6"/>
          <w:sz w:val="32"/>
          <w:szCs w:val="32"/>
          <w:highlight w:val="none"/>
        </w:rPr>
      </w:pPr>
      <w:r>
        <w:rPr>
          <w:rFonts w:hint="eastAsia" w:ascii="仿宋_GB2312" w:hAnsi="仿宋_GB2312" w:eastAsia="仿宋_GB2312" w:cs="仿宋_GB2312"/>
          <w:color w:val="121212"/>
          <w:spacing w:val="6"/>
          <w:sz w:val="32"/>
          <w:szCs w:val="32"/>
          <w:highlight w:val="none"/>
        </w:rPr>
        <w:t>3.引导基金出资拨付至子基金账户后，该子基金未开展投资业务超过1年的；</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64" w:firstLineChars="200"/>
        <w:textAlignment w:val="baseline"/>
        <w:rPr>
          <w:rFonts w:hint="eastAsia" w:ascii="仿宋_GB2312" w:hAnsi="仿宋_GB2312" w:eastAsia="仿宋_GB2312" w:cs="仿宋_GB2312"/>
          <w:color w:val="121212"/>
          <w:spacing w:val="6"/>
          <w:sz w:val="32"/>
          <w:szCs w:val="32"/>
          <w:highlight w:val="none"/>
        </w:rPr>
      </w:pPr>
      <w:r>
        <w:rPr>
          <w:rFonts w:hint="eastAsia" w:ascii="仿宋_GB2312" w:hAnsi="仿宋_GB2312" w:eastAsia="仿宋_GB2312" w:cs="仿宋_GB2312"/>
          <w:color w:val="121212"/>
          <w:spacing w:val="6"/>
          <w:sz w:val="32"/>
          <w:szCs w:val="32"/>
          <w:highlight w:val="none"/>
        </w:rPr>
        <w:t>4.投资项目不符合相关规定的政策导向的；</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64" w:firstLineChars="200"/>
        <w:textAlignment w:val="baseline"/>
        <w:rPr>
          <w:rFonts w:hint="eastAsia" w:ascii="仿宋_GB2312" w:hAnsi="仿宋_GB2312" w:eastAsia="仿宋_GB2312" w:cs="仿宋_GB2312"/>
          <w:color w:val="121212"/>
          <w:spacing w:val="6"/>
          <w:sz w:val="32"/>
          <w:szCs w:val="32"/>
          <w:highlight w:val="none"/>
        </w:rPr>
      </w:pPr>
      <w:r>
        <w:rPr>
          <w:rFonts w:hint="eastAsia" w:ascii="仿宋_GB2312" w:hAnsi="仿宋_GB2312" w:eastAsia="仿宋_GB2312" w:cs="仿宋_GB2312"/>
          <w:color w:val="121212"/>
          <w:spacing w:val="6"/>
          <w:sz w:val="32"/>
          <w:szCs w:val="32"/>
          <w:highlight w:val="none"/>
        </w:rPr>
        <w:t>5.运营有违法违规行为并被依法查处的；</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64" w:firstLineChars="200"/>
        <w:textAlignment w:val="baseline"/>
        <w:rPr>
          <w:rFonts w:hint="eastAsia" w:ascii="仿宋_GB2312" w:hAnsi="仿宋_GB2312" w:eastAsia="仿宋_GB2312" w:cs="仿宋_GB2312"/>
          <w:color w:val="121212"/>
          <w:spacing w:val="6"/>
          <w:sz w:val="32"/>
          <w:szCs w:val="32"/>
          <w:highlight w:val="none"/>
        </w:rPr>
      </w:pPr>
      <w:r>
        <w:rPr>
          <w:rFonts w:hint="eastAsia" w:ascii="仿宋_GB2312" w:hAnsi="仿宋_GB2312" w:eastAsia="仿宋_GB2312" w:cs="仿宋_GB2312"/>
          <w:color w:val="121212"/>
          <w:spacing w:val="6"/>
          <w:sz w:val="32"/>
          <w:szCs w:val="32"/>
          <w:highlight w:val="none"/>
        </w:rPr>
        <w:t>6.子基金</w:t>
      </w:r>
      <w:r>
        <w:rPr>
          <w:rFonts w:hint="default" w:ascii="仿宋_GB2312" w:hAnsi="仿宋_GB2312" w:eastAsia="仿宋_GB2312" w:cs="仿宋_GB2312"/>
          <w:color w:val="121212"/>
          <w:spacing w:val="6"/>
          <w:sz w:val="32"/>
          <w:szCs w:val="32"/>
          <w:highlight w:val="none"/>
          <w:lang w:val="en-US"/>
        </w:rPr>
        <w:t>管理人</w:t>
      </w:r>
      <w:r>
        <w:rPr>
          <w:rFonts w:hint="eastAsia" w:ascii="仿宋_GB2312" w:hAnsi="仿宋_GB2312" w:eastAsia="仿宋_GB2312" w:cs="仿宋_GB2312"/>
          <w:color w:val="121212"/>
          <w:spacing w:val="6"/>
          <w:sz w:val="32"/>
          <w:szCs w:val="32"/>
          <w:highlight w:val="none"/>
        </w:rPr>
        <w:t>发生实质性变化(包括但不限于控股股东、实际控制人</w:t>
      </w:r>
      <w:r>
        <w:rPr>
          <w:rFonts w:hint="eastAsia" w:ascii="仿宋_GB2312" w:hAnsi="仿宋_GB2312" w:eastAsia="仿宋_GB2312" w:cs="仿宋_GB2312"/>
          <w:color w:val="121212"/>
          <w:spacing w:val="6"/>
          <w:sz w:val="32"/>
          <w:szCs w:val="32"/>
          <w:highlight w:val="none"/>
          <w:lang w:val="en-US" w:eastAsia="zh-CN"/>
        </w:rPr>
        <w:t>或拟设子基金关键人士发生变更</w:t>
      </w:r>
      <w:r>
        <w:rPr>
          <w:rFonts w:hint="eastAsia" w:ascii="仿宋_GB2312" w:hAnsi="仿宋_GB2312" w:eastAsia="仿宋_GB2312" w:cs="仿宋_GB2312"/>
          <w:color w:val="121212"/>
          <w:spacing w:val="6"/>
          <w:sz w:val="32"/>
          <w:szCs w:val="32"/>
          <w:highlight w:val="none"/>
        </w:rPr>
        <w:t>等)且未经相关权力机构表决通过的；</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64"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6"/>
          <w:sz w:val="32"/>
          <w:szCs w:val="32"/>
          <w:highlight w:val="none"/>
        </w:rPr>
        <w:t>7</w:t>
      </w:r>
      <w:r>
        <w:rPr>
          <w:rFonts w:hint="eastAsia" w:ascii="仿宋_GB2312" w:hAnsi="仿宋_GB2312" w:eastAsia="仿宋_GB2312" w:cs="仿宋_GB2312"/>
          <w:color w:val="121212"/>
          <w:spacing w:val="5"/>
          <w:sz w:val="32"/>
          <w:szCs w:val="32"/>
          <w:highlight w:val="none"/>
        </w:rPr>
        <w:t>.</w:t>
      </w:r>
      <w:r>
        <w:rPr>
          <w:rFonts w:hint="eastAsia" w:ascii="仿宋_GB2312" w:hAnsi="仿宋_GB2312" w:eastAsia="仿宋_GB2312" w:cs="仿宋_GB2312"/>
          <w:color w:val="121212"/>
          <w:spacing w:val="3"/>
          <w:sz w:val="32"/>
          <w:szCs w:val="32"/>
          <w:highlight w:val="none"/>
        </w:rPr>
        <w:t>其他不符合章程或合伙协议约定情形，或有其他法律、</w:t>
      </w:r>
      <w:r>
        <w:rPr>
          <w:rFonts w:hint="eastAsia" w:ascii="仿宋_GB2312" w:hAnsi="仿宋_GB2312" w:eastAsia="仿宋_GB2312" w:cs="仿宋_GB2312"/>
          <w:color w:val="121212"/>
          <w:spacing w:val="14"/>
          <w:sz w:val="32"/>
          <w:szCs w:val="32"/>
          <w:highlight w:val="none"/>
        </w:rPr>
        <w:t>法</w:t>
      </w:r>
      <w:r>
        <w:rPr>
          <w:rFonts w:hint="eastAsia" w:ascii="仿宋_GB2312" w:hAnsi="仿宋_GB2312" w:eastAsia="仿宋_GB2312" w:cs="仿宋_GB2312"/>
          <w:color w:val="121212"/>
          <w:spacing w:val="10"/>
          <w:sz w:val="32"/>
          <w:szCs w:val="32"/>
          <w:highlight w:val="none"/>
        </w:rPr>
        <w:t>规</w:t>
      </w:r>
      <w:r>
        <w:rPr>
          <w:rFonts w:hint="eastAsia" w:ascii="仿宋_GB2312" w:hAnsi="仿宋_GB2312" w:eastAsia="仿宋_GB2312" w:cs="仿宋_GB2312"/>
          <w:color w:val="121212"/>
          <w:spacing w:val="7"/>
          <w:sz w:val="32"/>
          <w:szCs w:val="32"/>
          <w:highlight w:val="none"/>
        </w:rPr>
        <w:t>和本</w:t>
      </w:r>
      <w:r>
        <w:rPr>
          <w:rFonts w:hint="eastAsia" w:ascii="仿宋_GB2312" w:hAnsi="仿宋_GB2312" w:eastAsia="仿宋_GB2312" w:cs="仿宋_GB2312"/>
          <w:color w:val="121212"/>
          <w:spacing w:val="7"/>
          <w:sz w:val="32"/>
          <w:szCs w:val="32"/>
          <w:highlight w:val="none"/>
          <w:lang w:val="en-US" w:eastAsia="zh-CN"/>
        </w:rPr>
        <w:t>指南</w:t>
      </w:r>
      <w:r>
        <w:rPr>
          <w:rFonts w:hint="eastAsia" w:ascii="仿宋_GB2312" w:hAnsi="仿宋_GB2312" w:eastAsia="仿宋_GB2312" w:cs="仿宋_GB2312"/>
          <w:color w:val="121212"/>
          <w:spacing w:val="7"/>
          <w:sz w:val="32"/>
          <w:szCs w:val="32"/>
          <w:highlight w:val="none"/>
        </w:rPr>
        <w:t>所禁止从事的行为的。</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firstLine="680" w:firstLineChars="200"/>
        <w:textAlignment w:val="baseline"/>
        <w:rPr>
          <w:rFonts w:hint="eastAsia" w:ascii="仿宋_GB2312" w:hAnsi="仿宋_GB2312" w:eastAsia="仿宋_GB2312" w:cs="仿宋_GB2312"/>
          <w:color w:val="121212"/>
          <w:spacing w:val="8"/>
          <w:sz w:val="32"/>
          <w:szCs w:val="32"/>
          <w:highlight w:val="none"/>
        </w:rPr>
      </w:pPr>
      <w:r>
        <w:rPr>
          <w:rFonts w:hint="eastAsia" w:ascii="仿宋_GB2312" w:hAnsi="仿宋_GB2312" w:eastAsia="仿宋_GB2312" w:cs="仿宋_GB2312"/>
          <w:color w:val="121212"/>
          <w:spacing w:val="10"/>
          <w:sz w:val="32"/>
          <w:szCs w:val="32"/>
          <w:highlight w:val="none"/>
        </w:rPr>
        <w:t>前</w:t>
      </w:r>
      <w:r>
        <w:rPr>
          <w:rFonts w:hint="eastAsia" w:ascii="仿宋_GB2312" w:hAnsi="仿宋_GB2312" w:eastAsia="仿宋_GB2312" w:cs="仿宋_GB2312"/>
          <w:color w:val="121212"/>
          <w:spacing w:val="8"/>
          <w:sz w:val="32"/>
          <w:szCs w:val="32"/>
          <w:highlight w:val="none"/>
        </w:rPr>
        <w:t>款内容应当依法依规在相关约定中明确。</w:t>
      </w:r>
    </w:p>
    <w:p>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ind w:left="0" w:firstLine="736" w:firstLineChars="200"/>
        <w:textAlignment w:val="baseline"/>
        <w:outlineLvl w:val="1"/>
        <w:rPr>
          <w:rFonts w:hint="eastAsia" w:ascii="楷体_GB2312" w:hAnsi="楷体_GB2312" w:eastAsia="楷体_GB2312" w:cs="楷体_GB2312"/>
          <w:color w:val="121212"/>
          <w:spacing w:val="24"/>
          <w:sz w:val="32"/>
          <w:szCs w:val="32"/>
          <w:highlight w:val="none"/>
        </w:rPr>
      </w:pPr>
      <w:r>
        <w:rPr>
          <w:rFonts w:hint="eastAsia" w:ascii="楷体_GB2312" w:hAnsi="楷体_GB2312" w:eastAsia="楷体_GB2312" w:cs="楷体_GB2312"/>
          <w:color w:val="121212"/>
          <w:spacing w:val="24"/>
          <w:sz w:val="32"/>
          <w:szCs w:val="32"/>
          <w:highlight w:val="none"/>
        </w:rPr>
        <w:t>(十</w:t>
      </w:r>
      <w:r>
        <w:rPr>
          <w:rFonts w:hint="eastAsia" w:ascii="楷体_GB2312" w:hAnsi="楷体_GB2312" w:eastAsia="楷体_GB2312" w:cs="楷体_GB2312"/>
          <w:color w:val="121212"/>
          <w:spacing w:val="24"/>
          <w:sz w:val="32"/>
          <w:szCs w:val="32"/>
          <w:highlight w:val="none"/>
          <w:lang w:val="en-US" w:eastAsia="zh-CN"/>
        </w:rPr>
        <w:t>三</w:t>
      </w:r>
      <w:r>
        <w:rPr>
          <w:rFonts w:hint="eastAsia" w:ascii="楷体_GB2312" w:hAnsi="楷体_GB2312" w:eastAsia="楷体_GB2312" w:cs="楷体_GB2312"/>
          <w:color w:val="121212"/>
          <w:spacing w:val="24"/>
          <w:sz w:val="32"/>
          <w:szCs w:val="32"/>
          <w:highlight w:val="none"/>
        </w:rPr>
        <w:t>)募资要求</w:t>
      </w:r>
    </w:p>
    <w:p>
      <w:pPr>
        <w:keepNext w:val="0"/>
        <w:keepLines w:val="0"/>
        <w:pageBreakBefore w:val="0"/>
        <w:widowControl/>
        <w:kinsoku w:val="0"/>
        <w:wordWrap/>
        <w:overflowPunct/>
        <w:topLinePunct w:val="0"/>
        <w:autoSpaceDE w:val="0"/>
        <w:autoSpaceDN w:val="0"/>
        <w:bidi w:val="0"/>
        <w:adjustRightInd w:val="0"/>
        <w:snapToGrid w:val="0"/>
        <w:spacing w:before="0" w:line="560" w:lineRule="exact"/>
        <w:ind w:left="0" w:right="0" w:firstLine="672"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121212"/>
          <w:spacing w:val="8"/>
          <w:sz w:val="32"/>
          <w:szCs w:val="32"/>
          <w:highlight w:val="none"/>
        </w:rPr>
        <w:t>子基金管理人应向符合《私募投资基金监督管理暂行</w:t>
      </w:r>
      <w:r>
        <w:rPr>
          <w:rFonts w:hint="eastAsia" w:ascii="仿宋_GB2312" w:hAnsi="仿宋_GB2312" w:eastAsia="仿宋_GB2312" w:cs="仿宋_GB2312"/>
          <w:color w:val="121212"/>
          <w:spacing w:val="4"/>
          <w:sz w:val="32"/>
          <w:szCs w:val="32"/>
          <w:highlight w:val="none"/>
        </w:rPr>
        <w:t>办</w:t>
      </w:r>
      <w:r>
        <w:rPr>
          <w:rFonts w:hint="eastAsia" w:ascii="仿宋_GB2312" w:hAnsi="仿宋_GB2312" w:eastAsia="仿宋_GB2312" w:cs="仿宋_GB2312"/>
          <w:color w:val="121212"/>
          <w:spacing w:val="24"/>
          <w:sz w:val="32"/>
          <w:szCs w:val="32"/>
          <w:highlight w:val="none"/>
        </w:rPr>
        <w:t>法</w:t>
      </w:r>
      <w:r>
        <w:rPr>
          <w:rFonts w:hint="eastAsia" w:ascii="仿宋_GB2312" w:hAnsi="仿宋_GB2312" w:eastAsia="仿宋_GB2312" w:cs="仿宋_GB2312"/>
          <w:color w:val="121212"/>
          <w:spacing w:val="18"/>
          <w:sz w:val="32"/>
          <w:szCs w:val="32"/>
          <w:highlight w:val="none"/>
        </w:rPr>
        <w:t>》</w:t>
      </w:r>
      <w:r>
        <w:rPr>
          <w:rFonts w:hint="eastAsia" w:ascii="仿宋_GB2312" w:hAnsi="仿宋_GB2312" w:eastAsia="仿宋_GB2312" w:cs="仿宋_GB2312"/>
          <w:color w:val="121212"/>
          <w:spacing w:val="12"/>
          <w:sz w:val="32"/>
          <w:szCs w:val="32"/>
          <w:highlight w:val="none"/>
        </w:rPr>
        <w:t>(证监会第105号令)《政府出资产业投资基金管理暂行办法》</w:t>
      </w:r>
      <w:r>
        <w:rPr>
          <w:rFonts w:hint="eastAsia" w:ascii="仿宋_GB2312" w:hAnsi="仿宋_GB2312" w:eastAsia="仿宋_GB2312" w:cs="仿宋_GB2312"/>
          <w:color w:val="121212"/>
          <w:spacing w:val="7"/>
          <w:sz w:val="32"/>
          <w:szCs w:val="32"/>
          <w:highlight w:val="none"/>
        </w:rPr>
        <w:t>(</w:t>
      </w:r>
      <w:r>
        <w:rPr>
          <w:rFonts w:hint="eastAsia" w:ascii="仿宋_GB2312" w:hAnsi="仿宋_GB2312" w:eastAsia="仿宋_GB2312" w:cs="仿宋_GB2312"/>
          <w:color w:val="121212"/>
          <w:spacing w:val="6"/>
          <w:sz w:val="32"/>
          <w:szCs w:val="32"/>
          <w:highlight w:val="none"/>
        </w:rPr>
        <w:t>发改财金规〔2016〕2800号)等规定的合格机构</w:t>
      </w:r>
      <w:r>
        <w:rPr>
          <w:rFonts w:hint="eastAsia" w:ascii="仿宋_GB2312" w:hAnsi="仿宋_GB2312" w:eastAsia="仿宋_GB2312" w:cs="仿宋_GB2312"/>
          <w:color w:val="121212"/>
          <w:spacing w:val="16"/>
          <w:sz w:val="32"/>
          <w:szCs w:val="32"/>
          <w:highlight w:val="none"/>
        </w:rPr>
        <w:t>投</w:t>
      </w:r>
      <w:r>
        <w:rPr>
          <w:rFonts w:hint="eastAsia" w:ascii="仿宋_GB2312" w:hAnsi="仿宋_GB2312" w:eastAsia="仿宋_GB2312" w:cs="仿宋_GB2312"/>
          <w:color w:val="121212"/>
          <w:spacing w:val="15"/>
          <w:sz w:val="32"/>
          <w:szCs w:val="32"/>
          <w:highlight w:val="none"/>
        </w:rPr>
        <w:t>资</w:t>
      </w:r>
      <w:r>
        <w:rPr>
          <w:rFonts w:hint="eastAsia" w:ascii="仿宋_GB2312" w:hAnsi="仿宋_GB2312" w:eastAsia="仿宋_GB2312" w:cs="仿宋_GB2312"/>
          <w:color w:val="121212"/>
          <w:spacing w:val="8"/>
          <w:sz w:val="32"/>
          <w:szCs w:val="32"/>
          <w:highlight w:val="none"/>
        </w:rPr>
        <w:t>者募集资金</w:t>
      </w:r>
      <w:r>
        <w:rPr>
          <w:rFonts w:hint="eastAsia" w:ascii="仿宋_GB2312" w:hAnsi="仿宋_GB2312" w:eastAsia="仿宋_GB2312" w:cs="仿宋_GB2312"/>
          <w:color w:val="121212"/>
          <w:spacing w:val="5"/>
          <w:sz w:val="32"/>
          <w:szCs w:val="32"/>
          <w:highlight w:val="none"/>
        </w:rPr>
        <w:t>。</w:t>
      </w: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0350CA-481C-4E86-ABC3-2FDF05D80684}"/>
  </w:font>
  <w:font w:name="黑体">
    <w:panose1 w:val="02010600030101010101"/>
    <w:charset w:val="86"/>
    <w:family w:val="auto"/>
    <w:pitch w:val="default"/>
    <w:sig w:usb0="800002BF" w:usb1="38CF7CFA" w:usb2="00000016" w:usb3="00000000" w:csb0="00040001" w:csb1="00000000"/>
    <w:embedRegular r:id="rId2" w:fontKey="{62868F7F-59C3-40F4-9057-45B70C5455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F3C3BAF1-8D50-4FDE-B799-ADFF52690337}"/>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C42AA14D-007D-40EC-B11F-CCFA4A2C97EC}"/>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trackRevisions w:val="1"/>
  <w:documentProtection w:enforcement="0"/>
  <w:defaultTabStop w:val="500"/>
  <w:hyphenationZone w:val="360"/>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DkxNTYyNWRlM2MwYTRhNmFlY2M3OTcyYzIzMWMifQ=="/>
  </w:docVars>
  <w:rsids>
    <w:rsidRoot w:val="00000000"/>
    <w:rsid w:val="08782571"/>
    <w:rsid w:val="14CE3784"/>
    <w:rsid w:val="17035AAC"/>
    <w:rsid w:val="178E7A6B"/>
    <w:rsid w:val="18753A58"/>
    <w:rsid w:val="206F32C6"/>
    <w:rsid w:val="21321328"/>
    <w:rsid w:val="273245C8"/>
    <w:rsid w:val="2A10279D"/>
    <w:rsid w:val="30D41C52"/>
    <w:rsid w:val="33EF1A55"/>
    <w:rsid w:val="37F21ACA"/>
    <w:rsid w:val="397A17A6"/>
    <w:rsid w:val="399830AC"/>
    <w:rsid w:val="3EA1693F"/>
    <w:rsid w:val="3FCD005C"/>
    <w:rsid w:val="41C70701"/>
    <w:rsid w:val="4A804742"/>
    <w:rsid w:val="4CB46925"/>
    <w:rsid w:val="50B70CA1"/>
    <w:rsid w:val="53EE096F"/>
    <w:rsid w:val="56E9366F"/>
    <w:rsid w:val="57E3648A"/>
    <w:rsid w:val="59DD110F"/>
    <w:rsid w:val="5F247503"/>
    <w:rsid w:val="5F4C0C3F"/>
    <w:rsid w:val="60AA05E4"/>
    <w:rsid w:val="65CD0D2C"/>
    <w:rsid w:val="67E7664E"/>
    <w:rsid w:val="690F0FFE"/>
    <w:rsid w:val="6DAD6C1A"/>
    <w:rsid w:val="76D36D90"/>
    <w:rsid w:val="7A2A0E0B"/>
    <w:rsid w:val="7C8A42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2667</Words>
  <Characters>2709</Characters>
  <TotalTime>9</TotalTime>
  <ScaleCrop>false</ScaleCrop>
  <LinksUpToDate>false</LinksUpToDate>
  <CharactersWithSpaces>2709</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2023-02-15T18:22:00Z</dcterms:created>
  <dc:creator>Administrator</dc:creator>
  <cp:lastModifiedBy>Administrator</cp:lastModifiedBy>
  <dcterms:modified xsi:type="dcterms:W3CDTF">2023-10-19T11:26:15Z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2023-08-18T22:32:02Z</vt:filetime>
  </property>
  <property fmtid="{D5CDD505-2E9C-101B-9397-08002B2CF9AE}" pid="4" name="KSOProductBuildVer">
    <vt:lpwstr>2052-12.1.0.15374</vt:lpwstr>
  </property>
  <property fmtid="{D5CDD505-2E9C-101B-9397-08002B2CF9AE}" pid="5" name="ICV">
    <vt:lpwstr>4234CB988A034EA883F7C1C5AA45C771_13</vt:lpwstr>
  </property>
</Properties>
</file>